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rPr>
          <w:rFonts w:ascii="黑体" w:hAnsi="黑体" w:eastAsia="黑体" w:cs="黑体"/>
          <w:sz w:val="32"/>
          <w:szCs w:val="32"/>
        </w:rPr>
      </w:pPr>
    </w:p>
    <w:p>
      <w:pPr>
        <w:spacing w:line="600" w:lineRule="exact"/>
        <w:jc w:val="center"/>
        <w:rPr>
          <w:rFonts w:ascii="仿宋_GB2312" w:hAnsi="仿宋_GB2312" w:eastAsia="仿宋_GB2312" w:cs="仿宋_GB2312"/>
          <w:b/>
          <w:sz w:val="44"/>
          <w:szCs w:val="44"/>
        </w:rPr>
      </w:pPr>
      <w:r>
        <w:rPr>
          <w:rFonts w:hint="eastAsia" w:ascii="宋体" w:hAnsi="宋体" w:eastAsia="宋体" w:cs="宋体"/>
          <w:b/>
          <w:sz w:val="44"/>
          <w:szCs w:val="44"/>
        </w:rPr>
        <w:t>福州市长乐</w:t>
      </w:r>
      <w:r>
        <w:rPr>
          <w:rFonts w:ascii="宋体" w:hAnsi="宋体" w:eastAsia="宋体" w:cs="宋体"/>
          <w:b/>
          <w:sz w:val="44"/>
          <w:szCs w:val="44"/>
        </w:rPr>
        <w:t>区</w:t>
      </w:r>
      <w:r>
        <w:rPr>
          <w:rFonts w:hint="eastAsia" w:ascii="宋体" w:hAnsi="宋体" w:eastAsia="宋体" w:cs="宋体"/>
          <w:b/>
          <w:sz w:val="44"/>
          <w:szCs w:val="44"/>
        </w:rPr>
        <w:t>基本养老服务清单</w:t>
      </w:r>
    </w:p>
    <w:tbl>
      <w:tblPr>
        <w:tblStyle w:val="5"/>
        <w:tblpPr w:leftFromText="180" w:rightFromText="180" w:vertAnchor="text" w:horzAnchor="page" w:tblpX="1601" w:tblpY="296"/>
        <w:tblOverlap w:val="never"/>
        <w:tblW w:w="8712" w:type="dxa"/>
        <w:tblInd w:w="0" w:type="dxa"/>
        <w:tblLayout w:type="fixed"/>
        <w:tblCellMar>
          <w:top w:w="15" w:type="dxa"/>
          <w:left w:w="15" w:type="dxa"/>
          <w:bottom w:w="15" w:type="dxa"/>
          <w:right w:w="15" w:type="dxa"/>
        </w:tblCellMar>
      </w:tblPr>
      <w:tblGrid>
        <w:gridCol w:w="1104"/>
        <w:gridCol w:w="552"/>
        <w:gridCol w:w="1380"/>
        <w:gridCol w:w="3084"/>
        <w:gridCol w:w="972"/>
        <w:gridCol w:w="1620"/>
      </w:tblGrid>
      <w:tr>
        <w:tblPrEx>
          <w:tblCellMar>
            <w:top w:w="15" w:type="dxa"/>
            <w:left w:w="15" w:type="dxa"/>
            <w:bottom w:w="15" w:type="dxa"/>
            <w:right w:w="15" w:type="dxa"/>
          </w:tblCellMar>
        </w:tblPrEx>
        <w:trPr>
          <w:trHeight w:val="75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服务对象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b/>
                <w:color w:val="000000"/>
                <w:kern w:val="0"/>
                <w:sz w:val="22"/>
                <w:lang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服务项目</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服务内容及标准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服务类型</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牵头责任部门</w:t>
            </w:r>
          </w:p>
        </w:tc>
      </w:tr>
      <w:tr>
        <w:tblPrEx>
          <w:tblCellMar>
            <w:top w:w="15" w:type="dxa"/>
            <w:left w:w="15" w:type="dxa"/>
            <w:bottom w:w="15" w:type="dxa"/>
            <w:right w:w="15" w:type="dxa"/>
          </w:tblCellMar>
        </w:tblPrEx>
        <w:trPr>
          <w:trHeight w:val="736"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达到待遇</w:t>
            </w:r>
          </w:p>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享受年龄</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的老年人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职工基本养老保险</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为符合条件的参保老年人按时足额发放基本养老金。</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物质帮助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区人社局</w:t>
            </w:r>
          </w:p>
        </w:tc>
      </w:tr>
      <w:tr>
        <w:tblPrEx>
          <w:tblCellMar>
            <w:top w:w="15" w:type="dxa"/>
            <w:left w:w="15" w:type="dxa"/>
            <w:bottom w:w="15" w:type="dxa"/>
            <w:right w:w="15" w:type="dxa"/>
          </w:tblCellMar>
        </w:tblPrEx>
        <w:trPr>
          <w:trHeight w:val="82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城乡居民基本养老保险</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为符合条件的参保老年人按时足额发放基础养老金；</w:t>
            </w:r>
            <w:r>
              <w:rPr>
                <w:rFonts w:ascii="宋体" w:hAnsi="宋体" w:eastAsia="宋体" w:cs="宋体"/>
                <w:color w:val="000000"/>
                <w:kern w:val="0"/>
                <w:szCs w:val="21"/>
                <w:lang w:bidi="ar"/>
              </w:rPr>
              <w:t>同时对高龄待遇领取人员进行待遇倾斜，其中</w:t>
            </w:r>
            <w:r>
              <w:rPr>
                <w:rFonts w:hint="eastAsia" w:ascii="宋体" w:hAnsi="宋体" w:eastAsia="宋体" w:cs="宋体"/>
                <w:color w:val="000000"/>
                <w:kern w:val="0"/>
                <w:szCs w:val="21"/>
                <w:lang w:bidi="ar"/>
              </w:rPr>
              <w:t>65-69、70-79、80周岁</w:t>
            </w:r>
            <w:r>
              <w:rPr>
                <w:rFonts w:ascii="宋体" w:hAnsi="宋体" w:eastAsia="宋体" w:cs="宋体"/>
                <w:color w:val="000000"/>
                <w:kern w:val="0"/>
                <w:szCs w:val="21"/>
                <w:lang w:bidi="ar"/>
              </w:rPr>
              <w:t>以上的待遇领取人员，其基础养老金每人每月分别高于基础养老金</w:t>
            </w:r>
            <w:r>
              <w:rPr>
                <w:rFonts w:hint="eastAsia" w:ascii="宋体" w:hAnsi="宋体" w:eastAsia="宋体" w:cs="宋体"/>
                <w:color w:val="000000"/>
                <w:kern w:val="0"/>
                <w:szCs w:val="21"/>
                <w:lang w:bidi="ar"/>
              </w:rPr>
              <w:t>最</w:t>
            </w:r>
            <w:r>
              <w:rPr>
                <w:rFonts w:ascii="宋体" w:hAnsi="宋体" w:eastAsia="宋体" w:cs="宋体"/>
                <w:color w:val="000000"/>
                <w:kern w:val="0"/>
                <w:szCs w:val="21"/>
                <w:lang w:bidi="ar"/>
              </w:rPr>
              <w:t>低标准</w:t>
            </w:r>
            <w:r>
              <w:rPr>
                <w:rFonts w:hint="eastAsia" w:ascii="宋体" w:hAnsi="宋体" w:eastAsia="宋体" w:cs="宋体"/>
                <w:color w:val="000000"/>
                <w:kern w:val="0"/>
                <w:szCs w:val="21"/>
                <w:lang w:bidi="ar"/>
              </w:rPr>
              <w:t>10元</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20元</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30元。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物质帮助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区人社局</w:t>
            </w:r>
          </w:p>
        </w:tc>
      </w:tr>
      <w:tr>
        <w:tblPrEx>
          <w:tblCellMar>
            <w:top w:w="15" w:type="dxa"/>
            <w:left w:w="15" w:type="dxa"/>
            <w:bottom w:w="15" w:type="dxa"/>
            <w:right w:w="15" w:type="dxa"/>
          </w:tblCellMar>
        </w:tblPrEx>
        <w:trPr>
          <w:trHeight w:val="1075" w:hRule="atLeast"/>
        </w:trPr>
        <w:tc>
          <w:tcPr>
            <w:tcW w:w="1104" w:type="dxa"/>
            <w:vMerge w:val="restart"/>
            <w:tcBorders>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textAlignment w:val="center"/>
              <w:rPr>
                <w:rFonts w:ascii="宋体" w:hAnsi="宋体" w:eastAsia="宋体" w:cs="宋体"/>
                <w:color w:val="000000"/>
                <w:kern w:val="0"/>
                <w:szCs w:val="21"/>
                <w:lang w:bidi="ar"/>
              </w:rPr>
            </w:pPr>
          </w:p>
          <w:p>
            <w:pPr>
              <w:widowControl/>
              <w:textAlignment w:val="center"/>
              <w:rPr>
                <w:rFonts w:ascii="宋体" w:hAnsi="宋体" w:eastAsia="宋体" w:cs="宋体"/>
                <w:color w:val="000000"/>
                <w:kern w:val="0"/>
                <w:szCs w:val="21"/>
                <w:lang w:bidi="ar"/>
              </w:rPr>
            </w:pPr>
          </w:p>
          <w:p>
            <w:pPr>
              <w:widowControl/>
              <w:textAlignment w:val="center"/>
              <w:rPr>
                <w:rFonts w:ascii="宋体" w:hAnsi="宋体" w:eastAsia="宋体" w:cs="宋体"/>
                <w:color w:val="000000"/>
                <w:kern w:val="0"/>
                <w:szCs w:val="21"/>
                <w:lang w:bidi="ar"/>
              </w:rPr>
            </w:pPr>
          </w:p>
          <w:p>
            <w:pPr>
              <w:widowControl/>
              <w:textAlignment w:val="center"/>
              <w:rPr>
                <w:rFonts w:ascii="宋体" w:hAnsi="宋体" w:eastAsia="宋体" w:cs="宋体"/>
                <w:color w:val="000000"/>
                <w:kern w:val="0"/>
                <w:szCs w:val="21"/>
                <w:lang w:bidi="ar"/>
              </w:rPr>
            </w:pPr>
          </w:p>
          <w:p>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60周岁及</w:t>
            </w:r>
          </w:p>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以上老年人</w:t>
            </w: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p>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60周岁及</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以上老年人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机构养老服务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促进养老机构健康发展，为有需求的老年人有偿提供全托照护机构养老服务。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照护服务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区民政局、发改局</w:t>
            </w:r>
          </w:p>
        </w:tc>
      </w:tr>
      <w:tr>
        <w:tblPrEx>
          <w:tblCellMar>
            <w:top w:w="15" w:type="dxa"/>
            <w:left w:w="15" w:type="dxa"/>
            <w:bottom w:w="15" w:type="dxa"/>
            <w:right w:w="15" w:type="dxa"/>
          </w:tblCellMar>
        </w:tblPrEx>
        <w:trPr>
          <w:trHeight w:val="1034" w:hRule="atLeast"/>
        </w:trPr>
        <w:tc>
          <w:tcPr>
            <w:tcW w:w="1104" w:type="dxa"/>
            <w:vMerge w:val="continue"/>
            <w:tcBorders>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居家社区养老服务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培养壮大专业化养老服务组织，为有需求的老年人有偿提供多样化居家社区养老服务。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照护服务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w:t>
            </w:r>
          </w:p>
        </w:tc>
      </w:tr>
      <w:tr>
        <w:tblPrEx>
          <w:tblCellMar>
            <w:top w:w="15" w:type="dxa"/>
            <w:left w:w="15" w:type="dxa"/>
            <w:bottom w:w="15" w:type="dxa"/>
            <w:right w:w="15" w:type="dxa"/>
          </w:tblCellMar>
        </w:tblPrEx>
        <w:trPr>
          <w:trHeight w:val="1464" w:hRule="atLeast"/>
        </w:trPr>
        <w:tc>
          <w:tcPr>
            <w:tcW w:w="1104" w:type="dxa"/>
            <w:vMerge w:val="continue"/>
            <w:tcBorders>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就医便利服务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医疗卫生机构为老年人就医提供引导等便利，设置专门窗口或优先窗口等绿色通道，全过程实施助老服务。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关爱服务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区卫健局</w:t>
            </w:r>
          </w:p>
        </w:tc>
      </w:tr>
      <w:tr>
        <w:tblPrEx>
          <w:tblCellMar>
            <w:top w:w="15" w:type="dxa"/>
            <w:left w:w="15" w:type="dxa"/>
            <w:bottom w:w="15" w:type="dxa"/>
            <w:right w:w="15" w:type="dxa"/>
          </w:tblCellMar>
        </w:tblPrEx>
        <w:trPr>
          <w:trHeight w:val="2388" w:hRule="atLeast"/>
        </w:trPr>
        <w:tc>
          <w:tcPr>
            <w:tcW w:w="1104" w:type="dxa"/>
            <w:vMerge w:val="continue"/>
            <w:tcBorders>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老年公共文化、教育、</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体育服务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1.提供更多</w:t>
            </w:r>
            <w:bookmarkStart w:id="0" w:name="_GoBack"/>
            <w:bookmarkEnd w:id="0"/>
            <w:r>
              <w:rPr>
                <w:rFonts w:hint="eastAsia" w:ascii="宋体" w:hAnsi="宋体" w:eastAsia="宋体" w:cs="宋体"/>
                <w:color w:val="000000"/>
                <w:kern w:val="0"/>
                <w:szCs w:val="21"/>
                <w:lang w:bidi="ar"/>
              </w:rPr>
              <w:t>适合老年人的文化产品和服务；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2.大力发展城乡社区老年教育，免费向老年人提供优质教育资源；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3.推进体育公共服务适老化升级，为老年人使用场地设施和器材提供周到服务。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关爱服务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区文旅局、教育局</w:t>
            </w:r>
          </w:p>
        </w:tc>
      </w:tr>
      <w:tr>
        <w:tblPrEx>
          <w:tblCellMar>
            <w:top w:w="15" w:type="dxa"/>
            <w:left w:w="15" w:type="dxa"/>
            <w:bottom w:w="15" w:type="dxa"/>
            <w:right w:w="15" w:type="dxa"/>
          </w:tblCellMar>
        </w:tblPrEx>
        <w:trPr>
          <w:trHeight w:val="1554" w:hRule="atLeast"/>
        </w:trPr>
        <w:tc>
          <w:tcPr>
            <w:tcW w:w="1104" w:type="dxa"/>
            <w:vMerge w:val="continue"/>
            <w:tcBorders>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14:ligatures w14:val="none"/>
              </w:rPr>
              <mc:AlternateContent>
                <mc:Choice Requires="wps">
                  <w:drawing>
                    <wp:anchor distT="0" distB="0" distL="114300" distR="114300" simplePos="0" relativeHeight="251659264" behindDoc="0" locked="0" layoutInCell="1" allowOverlap="1">
                      <wp:simplePos x="0" y="0"/>
                      <wp:positionH relativeFrom="column">
                        <wp:posOffset>-721360</wp:posOffset>
                      </wp:positionH>
                      <wp:positionV relativeFrom="paragraph">
                        <wp:posOffset>-413385</wp:posOffset>
                      </wp:positionV>
                      <wp:extent cx="717550" cy="0"/>
                      <wp:effectExtent l="0" t="0" r="25400" b="19050"/>
                      <wp:wrapNone/>
                      <wp:docPr id="1" name="直接连接符 1"/>
                      <wp:cNvGraphicFramePr/>
                      <a:graphic xmlns:a="http://schemas.openxmlformats.org/drawingml/2006/main">
                        <a:graphicData uri="http://schemas.microsoft.com/office/word/2010/wordprocessingShape">
                          <wps:wsp>
                            <wps:cNvCnPr/>
                            <wps:spPr>
                              <a:xfrm>
                                <a:off x="0" y="0"/>
                                <a:ext cx="71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6.8pt;margin-top:-32.55pt;height:0pt;width:56.5pt;z-index:251659264;mso-width-relative:page;mso-height-relative:page;" filled="f" stroked="t" coordsize="21600,21600" o:gfxdata="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">
                      <v:fill on="f" focussize="0,0"/>
                      <v:stroke weight="0.5pt" color="#000000 [3200]" miterlimit="8" joinstyle="miter"/>
                      <v:imagedata o:title=""/>
                      <o:lock v:ext="edit" aspectratio="f"/>
                    </v:line>
                  </w:pict>
                </mc:Fallback>
              </mc:AlternateContent>
            </w:r>
            <w:r>
              <w:rPr>
                <w:rFonts w:hint="eastAsia" w:ascii="宋体" w:hAnsi="宋体" w:eastAsia="宋体" w:cs="宋体"/>
                <w:color w:val="000000"/>
                <w:kern w:val="0"/>
                <w:szCs w:val="21"/>
                <w:lang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应急处置保障</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发生公共卫生突发事件时，各级政府及其有关部门应当通过上门服务、开辟绿色通道等方式，为行动不便的老年人提供优先服务。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关爱服务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区卫健局、民政局</w:t>
            </w:r>
          </w:p>
        </w:tc>
      </w:tr>
      <w:tr>
        <w:tblPrEx>
          <w:tblCellMar>
            <w:top w:w="15" w:type="dxa"/>
            <w:left w:w="15" w:type="dxa"/>
            <w:bottom w:w="15" w:type="dxa"/>
            <w:right w:w="15" w:type="dxa"/>
          </w:tblCellMar>
        </w:tblPrEx>
        <w:trPr>
          <w:trHeight w:val="1326" w:hRule="atLeast"/>
        </w:trPr>
        <w:tc>
          <w:tcPr>
            <w:tcW w:w="1104"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8</w:t>
            </w:r>
          </w:p>
        </w:tc>
        <w:tc>
          <w:tcPr>
            <w:tcW w:w="138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公共设施适老化改造</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推动与老年人日常生活密切相关的公共设施的无障碍和适老化改造。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关爱服务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区住</w:t>
            </w:r>
            <w:r>
              <w:rPr>
                <w:rFonts w:ascii="宋体" w:hAnsi="宋体" w:eastAsia="宋体" w:cs="宋体"/>
                <w:color w:val="000000"/>
                <w:kern w:val="0"/>
                <w:szCs w:val="21"/>
                <w:lang w:bidi="ar"/>
              </w:rPr>
              <w:t>建</w:t>
            </w:r>
            <w:r>
              <w:rPr>
                <w:rFonts w:hint="eastAsia" w:ascii="宋体" w:hAnsi="宋体" w:eastAsia="宋体" w:cs="宋体"/>
                <w:color w:val="000000"/>
                <w:kern w:val="0"/>
                <w:szCs w:val="21"/>
                <w:lang w:bidi="ar"/>
              </w:rPr>
              <w:t>局</w:t>
            </w:r>
          </w:p>
        </w:tc>
      </w:tr>
      <w:tr>
        <w:tblPrEx>
          <w:tblCellMar>
            <w:top w:w="15" w:type="dxa"/>
            <w:left w:w="15" w:type="dxa"/>
            <w:bottom w:w="15" w:type="dxa"/>
            <w:right w:w="15" w:type="dxa"/>
          </w:tblCellMar>
        </w:tblPrEx>
        <w:trPr>
          <w:trHeight w:val="1013" w:hRule="atLeast"/>
        </w:trPr>
        <w:tc>
          <w:tcPr>
            <w:tcW w:w="1104" w:type="dxa"/>
            <w:vMerge w:val="restart"/>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65周岁及</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以上老年人</w:t>
            </w:r>
          </w:p>
        </w:tc>
        <w:tc>
          <w:tcPr>
            <w:tcW w:w="552"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9</w:t>
            </w:r>
          </w:p>
        </w:tc>
        <w:tc>
          <w:tcPr>
            <w:tcW w:w="138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老年人能力综合评估</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为65周岁及以上老年人提供能力综合评估，做好老年人能力综合评估与健康状况评估的衔接。</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照护服务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w:t>
            </w:r>
          </w:p>
        </w:tc>
      </w:tr>
      <w:tr>
        <w:tblPrEx>
          <w:tblCellMar>
            <w:top w:w="15" w:type="dxa"/>
            <w:left w:w="15" w:type="dxa"/>
            <w:bottom w:w="15" w:type="dxa"/>
            <w:right w:w="15" w:type="dxa"/>
          </w:tblCellMar>
        </w:tblPrEx>
        <w:trPr>
          <w:trHeight w:val="1245" w:hRule="atLeast"/>
        </w:trPr>
        <w:tc>
          <w:tcPr>
            <w:tcW w:w="1104"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健康管理</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为65周岁及以上老年人免费建立电子健康档案，进行健康指导，每年为65周岁及以上老年人免费提供包括体检在内的健康管理服务。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关爱服务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区卫健局</w:t>
            </w:r>
          </w:p>
        </w:tc>
      </w:tr>
      <w:tr>
        <w:tblPrEx>
          <w:tblCellMar>
            <w:top w:w="15" w:type="dxa"/>
            <w:left w:w="15" w:type="dxa"/>
            <w:bottom w:w="15" w:type="dxa"/>
            <w:right w:w="15" w:type="dxa"/>
          </w:tblCellMar>
        </w:tblPrEx>
        <w:trPr>
          <w:trHeight w:val="863" w:hRule="atLeast"/>
        </w:trPr>
        <w:tc>
          <w:tcPr>
            <w:tcW w:w="110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乘坐城市公共交通工具</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65周岁及以上老年人免费乘坐城市公共交通工具。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关爱服务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区交通局、</w:t>
            </w:r>
            <w:r>
              <w:rPr>
                <w:rFonts w:ascii="宋体" w:hAnsi="宋体" w:eastAsia="宋体" w:cs="宋体"/>
                <w:color w:val="000000"/>
                <w:kern w:val="0"/>
                <w:szCs w:val="21"/>
                <w:lang w:bidi="ar"/>
              </w:rPr>
              <w:t>民政局</w:t>
            </w:r>
          </w:p>
        </w:tc>
      </w:tr>
      <w:tr>
        <w:tblPrEx>
          <w:tblCellMar>
            <w:top w:w="15" w:type="dxa"/>
            <w:left w:w="15" w:type="dxa"/>
            <w:bottom w:w="15" w:type="dxa"/>
            <w:right w:w="15" w:type="dxa"/>
          </w:tblCellMar>
        </w:tblPrEx>
        <w:trPr>
          <w:trHeight w:val="1800" w:hRule="atLeast"/>
        </w:trPr>
        <w:tc>
          <w:tcPr>
            <w:tcW w:w="110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参观公园、景点等</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积极倡导全区4A级及以上旅游景区，根据景区类型、经营主体及实际情况，参照《福建省发展和改革委员会关于进一步规范景区门票价格管理的通知》（闽发改价格〔2022〕518号），对65周岁以上的老年人，凭有效证件免收景区门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关爱服务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区发改局、文旅局</w:t>
            </w:r>
          </w:p>
        </w:tc>
      </w:tr>
      <w:tr>
        <w:tblPrEx>
          <w:tblCellMar>
            <w:top w:w="15" w:type="dxa"/>
            <w:left w:w="15" w:type="dxa"/>
            <w:bottom w:w="15" w:type="dxa"/>
            <w:right w:w="15" w:type="dxa"/>
          </w:tblCellMar>
        </w:tblPrEx>
        <w:trPr>
          <w:trHeight w:val="2145"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80周岁及</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以上老年人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高龄津贴</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1.为80周岁以上低保老年人每人每月增发100元高龄津贴；</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w:t>
            </w:r>
            <w:r>
              <w:rPr>
                <w:rFonts w:hint="eastAsia" w:ascii="宋体" w:hAnsi="宋体" w:eastAsia="宋体" w:cs="宋体"/>
                <w:color w:val="000000"/>
                <w:kern w:val="0"/>
                <w:szCs w:val="21"/>
              </w:rPr>
              <w:t>80周岁以上的离退休</w:t>
            </w:r>
            <w:r>
              <w:rPr>
                <w:rFonts w:hint="eastAsia" w:ascii="宋体" w:hAnsi="宋体" w:eastAsia="宋体" w:cs="宋体"/>
                <w:color w:val="000000"/>
                <w:kern w:val="0"/>
                <w:szCs w:val="21"/>
                <w:lang w:bidi="ar"/>
              </w:rPr>
              <w:t>老年人</w:t>
            </w:r>
            <w:r>
              <w:rPr>
                <w:rFonts w:hint="eastAsia" w:ascii="宋体" w:hAnsi="宋体" w:eastAsia="宋体" w:cs="宋体"/>
                <w:color w:val="000000"/>
                <w:kern w:val="0"/>
                <w:szCs w:val="21"/>
              </w:rPr>
              <w:t>，养老待遇中应包含高龄津贴</w:t>
            </w:r>
            <w:r>
              <w:rPr>
                <w:rFonts w:hint="eastAsia" w:ascii="宋体" w:hAnsi="宋体" w:eastAsia="宋体" w:cs="宋体"/>
                <w:color w:val="000000"/>
                <w:kern w:val="0"/>
                <w:szCs w:val="21"/>
                <w:lang w:bidi="ar"/>
              </w:rPr>
              <w:t>；</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3.高龄</w:t>
            </w:r>
            <w:r>
              <w:rPr>
                <w:rFonts w:ascii="宋体" w:hAnsi="宋体" w:eastAsia="宋体" w:cs="宋体"/>
                <w:color w:val="000000"/>
                <w:kern w:val="0"/>
                <w:szCs w:val="21"/>
                <w:lang w:bidi="ar"/>
              </w:rPr>
              <w:t>补贴</w:t>
            </w:r>
            <w:r>
              <w:rPr>
                <w:rFonts w:hint="eastAsia" w:ascii="宋体" w:hAnsi="宋体" w:eastAsia="宋体" w:cs="宋体"/>
                <w:color w:val="000000"/>
                <w:kern w:val="0"/>
                <w:szCs w:val="21"/>
                <w:lang w:bidi="ar"/>
              </w:rPr>
              <w:t>，对</w:t>
            </w:r>
            <w:r>
              <w:rPr>
                <w:rFonts w:ascii="宋体" w:hAnsi="宋体" w:eastAsia="宋体" w:cs="宋体"/>
                <w:color w:val="000000"/>
                <w:kern w:val="0"/>
                <w:szCs w:val="21"/>
                <w:lang w:bidi="ar"/>
              </w:rPr>
              <w:t>于未领取</w:t>
            </w:r>
            <w:r>
              <w:rPr>
                <w:rFonts w:hint="eastAsia" w:ascii="宋体" w:hAnsi="宋体" w:eastAsia="宋体" w:cs="宋体"/>
                <w:color w:val="000000"/>
                <w:kern w:val="0"/>
                <w:szCs w:val="21"/>
                <w:lang w:bidi="ar"/>
              </w:rPr>
              <w:t>企事业</w:t>
            </w:r>
            <w:r>
              <w:rPr>
                <w:rFonts w:ascii="宋体" w:hAnsi="宋体" w:eastAsia="宋体" w:cs="宋体"/>
                <w:color w:val="000000"/>
                <w:kern w:val="0"/>
                <w:szCs w:val="21"/>
                <w:lang w:bidi="ar"/>
              </w:rPr>
              <w:t>单位退休金的老人，</w:t>
            </w:r>
            <w:r>
              <w:rPr>
                <w:rFonts w:hint="eastAsia" w:ascii="宋体" w:hAnsi="宋体" w:eastAsia="宋体" w:cs="宋体"/>
                <w:color w:val="000000"/>
                <w:kern w:val="0"/>
                <w:szCs w:val="21"/>
                <w:lang w:bidi="ar"/>
              </w:rPr>
              <w:t>按照80-94周岁</w:t>
            </w:r>
            <w:r>
              <w:rPr>
                <w:rFonts w:ascii="宋体" w:hAnsi="宋体" w:eastAsia="宋体" w:cs="宋体"/>
                <w:color w:val="000000"/>
                <w:kern w:val="0"/>
                <w:szCs w:val="21"/>
                <w:lang w:bidi="ar"/>
              </w:rPr>
              <w:t>每人每月</w:t>
            </w:r>
            <w:r>
              <w:rPr>
                <w:rFonts w:hint="eastAsia" w:ascii="宋体" w:hAnsi="宋体" w:eastAsia="宋体" w:cs="宋体"/>
                <w:color w:val="000000"/>
                <w:kern w:val="0"/>
                <w:szCs w:val="21"/>
                <w:lang w:bidi="ar"/>
              </w:rPr>
              <w:t>100元，95-99周岁</w:t>
            </w:r>
            <w:r>
              <w:rPr>
                <w:rFonts w:ascii="宋体" w:hAnsi="宋体" w:eastAsia="宋体" w:cs="宋体"/>
                <w:color w:val="000000"/>
                <w:kern w:val="0"/>
                <w:szCs w:val="21"/>
                <w:lang w:bidi="ar"/>
              </w:rPr>
              <w:t>每人每月</w:t>
            </w:r>
            <w:r>
              <w:rPr>
                <w:rFonts w:hint="eastAsia" w:ascii="宋体" w:hAnsi="宋体" w:eastAsia="宋体" w:cs="宋体"/>
                <w:color w:val="000000"/>
                <w:kern w:val="0"/>
                <w:szCs w:val="21"/>
                <w:lang w:bidi="ar"/>
              </w:rPr>
              <w:t>200元</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100周岁</w:t>
            </w:r>
            <w:r>
              <w:rPr>
                <w:rFonts w:ascii="宋体" w:hAnsi="宋体" w:eastAsia="宋体" w:cs="宋体"/>
                <w:color w:val="000000"/>
                <w:kern w:val="0"/>
                <w:szCs w:val="21"/>
                <w:lang w:bidi="ar"/>
              </w:rPr>
              <w:t>以上</w:t>
            </w:r>
            <w:r>
              <w:rPr>
                <w:rFonts w:hint="eastAsia" w:ascii="宋体" w:hAnsi="宋体" w:eastAsia="宋体" w:cs="宋体"/>
                <w:color w:val="000000"/>
                <w:kern w:val="0"/>
                <w:szCs w:val="21"/>
                <w:lang w:bidi="ar"/>
              </w:rPr>
              <w:t>老</w:t>
            </w:r>
            <w:r>
              <w:rPr>
                <w:rFonts w:ascii="宋体" w:hAnsi="宋体" w:eastAsia="宋体" w:cs="宋体"/>
                <w:color w:val="000000"/>
                <w:kern w:val="0"/>
                <w:szCs w:val="21"/>
                <w:lang w:bidi="ar"/>
              </w:rPr>
              <w:t>年人每人每月</w:t>
            </w:r>
            <w:r>
              <w:rPr>
                <w:rFonts w:hint="eastAsia" w:ascii="宋体" w:hAnsi="宋体" w:eastAsia="宋体" w:cs="宋体"/>
                <w:color w:val="000000"/>
                <w:kern w:val="0"/>
                <w:szCs w:val="21"/>
                <w:lang w:bidi="ar"/>
              </w:rPr>
              <w:t>500元</w:t>
            </w:r>
            <w:r>
              <w:rPr>
                <w:rFonts w:ascii="宋体" w:hAnsi="宋体" w:eastAsia="宋体" w:cs="宋体"/>
                <w:color w:val="000000"/>
                <w:kern w:val="0"/>
                <w:szCs w:val="21"/>
                <w:lang w:bidi="ar"/>
              </w:rPr>
              <w:t>的标准发放补贴</w:t>
            </w:r>
            <w:r>
              <w:rPr>
                <w:rFonts w:hint="eastAsia" w:ascii="宋体" w:hAnsi="宋体" w:eastAsia="宋体" w:cs="宋体"/>
                <w:color w:val="000000"/>
                <w:kern w:val="0"/>
                <w:szCs w:val="21"/>
                <w:lang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物质帮助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区民政局、人社局</w:t>
            </w:r>
          </w:p>
        </w:tc>
      </w:tr>
      <w:tr>
        <w:tblPrEx>
          <w:tblCellMar>
            <w:top w:w="15" w:type="dxa"/>
            <w:left w:w="15" w:type="dxa"/>
            <w:bottom w:w="15" w:type="dxa"/>
            <w:right w:w="15" w:type="dxa"/>
          </w:tblCellMar>
        </w:tblPrEx>
        <w:trPr>
          <w:trHeight w:val="1080"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经济困难</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的老年人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养老服务补贴</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为经济困难的完全</w:t>
            </w:r>
            <w:r>
              <w:rPr>
                <w:rFonts w:ascii="宋体" w:hAnsi="宋体" w:eastAsia="宋体" w:cs="宋体"/>
                <w:color w:val="000000"/>
                <w:kern w:val="0"/>
                <w:szCs w:val="21"/>
                <w:lang w:bidi="ar"/>
              </w:rPr>
              <w:t>失能</w:t>
            </w:r>
            <w:r>
              <w:rPr>
                <w:rFonts w:hint="eastAsia" w:ascii="宋体" w:hAnsi="宋体" w:eastAsia="宋体" w:cs="宋体"/>
                <w:color w:val="000000"/>
                <w:kern w:val="0"/>
                <w:szCs w:val="21"/>
                <w:lang w:bidi="ar"/>
              </w:rPr>
              <w:t>老年人提供集中供养补贴，补贴标准按照</w:t>
            </w:r>
            <w:r>
              <w:rPr>
                <w:rFonts w:ascii="宋体" w:hAnsi="宋体" w:eastAsia="宋体" w:cs="宋体"/>
                <w:color w:val="000000"/>
                <w:kern w:val="0"/>
                <w:szCs w:val="21"/>
                <w:lang w:bidi="ar"/>
              </w:rPr>
              <w:t>入住养老机构收费标准减去老人领取其它政府补贴</w:t>
            </w:r>
            <w:r>
              <w:rPr>
                <w:rFonts w:hint="eastAsia" w:ascii="宋体" w:hAnsi="宋体" w:eastAsia="宋体" w:cs="宋体"/>
                <w:color w:val="000000"/>
                <w:kern w:val="0"/>
                <w:szCs w:val="21"/>
                <w:lang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照护服务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w:t>
            </w:r>
          </w:p>
        </w:tc>
      </w:tr>
      <w:tr>
        <w:tblPrEx>
          <w:tblCellMar>
            <w:top w:w="15" w:type="dxa"/>
            <w:left w:w="15" w:type="dxa"/>
            <w:bottom w:w="15" w:type="dxa"/>
            <w:right w:w="15" w:type="dxa"/>
          </w:tblCellMar>
        </w:tblPrEx>
        <w:trPr>
          <w:trHeight w:val="72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家庭适老化改造</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按照相关标准，分年度逐步为经济困难老年人家庭提供无障碍改造服务。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物质帮助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w:t>
            </w:r>
          </w:p>
        </w:tc>
      </w:tr>
      <w:tr>
        <w:tblPrEx>
          <w:tblCellMar>
            <w:top w:w="15" w:type="dxa"/>
            <w:left w:w="15" w:type="dxa"/>
            <w:bottom w:w="15" w:type="dxa"/>
            <w:right w:w="15" w:type="dxa"/>
          </w:tblCellMar>
        </w:tblPrEx>
        <w:trPr>
          <w:trHeight w:val="1245"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经认定生活不能自理的老年人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护理补贴</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Style w:val="12"/>
                <w:rFonts w:hint="default"/>
                <w:sz w:val="21"/>
                <w:szCs w:val="21"/>
                <w:lang w:bidi="ar"/>
              </w:rPr>
              <w:t>对具有本地户籍的最低生活保障对象和计划生育特殊家庭中的完全失能老年人，原则上按照每人每月不低于200元的标准发放补贴。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照护服务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区民政局、卫健局</w:t>
            </w:r>
          </w:p>
        </w:tc>
      </w:tr>
      <w:tr>
        <w:tblPrEx>
          <w:tblCellMar>
            <w:top w:w="15" w:type="dxa"/>
            <w:left w:w="15" w:type="dxa"/>
            <w:bottom w:w="15" w:type="dxa"/>
            <w:right w:w="15" w:type="dxa"/>
          </w:tblCellMar>
        </w:tblPrEx>
        <w:trPr>
          <w:trHeight w:val="1245"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家庭养老支持服务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符合条件的失能老年人家庭成员参加照护培训等相关职业技能培训，</w:t>
            </w:r>
            <w:r>
              <w:rPr>
                <w:rFonts w:hint="eastAsia" w:ascii="宋体" w:hAnsi="宋体" w:eastAsia="宋体" w:cs="宋体"/>
                <w:kern w:val="0"/>
                <w:szCs w:val="21"/>
                <w:lang w:bidi="ar"/>
              </w:rPr>
              <w:t>并</w:t>
            </w:r>
            <w:r>
              <w:rPr>
                <w:rFonts w:ascii="宋体" w:hAnsi="宋体" w:eastAsia="宋体" w:cs="宋体"/>
                <w:kern w:val="0"/>
                <w:szCs w:val="21"/>
                <w:lang w:bidi="ar"/>
              </w:rPr>
              <w:t>取得职业技能证书</w:t>
            </w:r>
            <w:r>
              <w:rPr>
                <w:rFonts w:hint="eastAsia" w:ascii="宋体" w:hAnsi="宋体" w:eastAsia="宋体" w:cs="宋体"/>
                <w:kern w:val="0"/>
                <w:szCs w:val="21"/>
                <w:lang w:bidi="ar"/>
              </w:rPr>
              <w:t>的，</w:t>
            </w:r>
            <w:r>
              <w:rPr>
                <w:rFonts w:hint="eastAsia" w:ascii="宋体" w:hAnsi="宋体" w:eastAsia="宋体" w:cs="宋体"/>
                <w:color w:val="000000"/>
                <w:kern w:val="0"/>
                <w:szCs w:val="21"/>
                <w:lang w:bidi="ar"/>
              </w:rPr>
              <w:t>按规定给予职业培训补贴。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照护服务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区人社局</w:t>
            </w:r>
          </w:p>
        </w:tc>
      </w:tr>
      <w:tr>
        <w:tblPrEx>
          <w:tblCellMar>
            <w:top w:w="15" w:type="dxa"/>
            <w:left w:w="15" w:type="dxa"/>
            <w:bottom w:w="15" w:type="dxa"/>
            <w:right w:w="15" w:type="dxa"/>
          </w:tblCellMar>
        </w:tblPrEx>
        <w:trPr>
          <w:trHeight w:val="1025"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纳入最低生活保障范围的老年人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最低生活保障</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对获得最低生活保障金后生活仍有困难的老年人，采取必要措施给予生活保障。</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物质帮助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w:t>
            </w:r>
          </w:p>
        </w:tc>
      </w:tr>
      <w:tr>
        <w:tblPrEx>
          <w:tblCellMar>
            <w:top w:w="15" w:type="dxa"/>
            <w:left w:w="15" w:type="dxa"/>
            <w:bottom w:w="15" w:type="dxa"/>
            <w:right w:w="15" w:type="dxa"/>
          </w:tblCellMar>
        </w:tblPrEx>
        <w:trPr>
          <w:trHeight w:val="1440"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特困老年人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分散特困供养</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对选择在家供养的特困老年人，由民政部门依照有关规定给予分散供养，提供基本生活条件、疾病治疗、办理丧葬事宜等，对生活不能自理的给予照料。</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物质帮助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w:t>
            </w:r>
          </w:p>
        </w:tc>
      </w:tr>
      <w:tr>
        <w:tblPrEx>
          <w:tblCellMar>
            <w:top w:w="15" w:type="dxa"/>
            <w:left w:w="15" w:type="dxa"/>
            <w:bottom w:w="15" w:type="dxa"/>
            <w:right w:w="15" w:type="dxa"/>
          </w:tblCellMar>
        </w:tblPrEx>
        <w:trPr>
          <w:trHeight w:val="144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集中特困供养</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对需要集中供养的特困老年人，由民政部门按照便于管理的原则，就近安排到相应的供养服务机构，提供基本生活条件、疾病治疗、办理丧葬事宜等，对生活不能自理的给予照料。</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物质帮助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w:t>
            </w:r>
          </w:p>
        </w:tc>
      </w:tr>
      <w:tr>
        <w:tblPrEx>
          <w:tblCellMar>
            <w:top w:w="15" w:type="dxa"/>
            <w:left w:w="15" w:type="dxa"/>
            <w:bottom w:w="15" w:type="dxa"/>
            <w:right w:w="15" w:type="dxa"/>
          </w:tblCellMar>
        </w:tblPrEx>
        <w:trPr>
          <w:trHeight w:val="90" w:hRule="atLeast"/>
        </w:trPr>
        <w:tc>
          <w:tcPr>
            <w:tcW w:w="110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特殊困难</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探访关爱服务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面向孤寡、独居、空巢、留守、失能、重残、计划生育特殊家庭等老年人提供探访关爱服务，并将特殊困难老年人探访关爱服务工作纳入平安长乐建设重要任务。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关爱服务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区民政局，区委政法委、社会工作部，区教育局、住</w:t>
            </w:r>
            <w:r>
              <w:rPr>
                <w:rFonts w:ascii="宋体" w:hAnsi="宋体" w:eastAsia="宋体" w:cs="宋体"/>
                <w:color w:val="000000"/>
                <w:kern w:val="0"/>
                <w:szCs w:val="21"/>
                <w:lang w:bidi="ar"/>
              </w:rPr>
              <w:t>建</w:t>
            </w:r>
            <w:r>
              <w:rPr>
                <w:rFonts w:hint="eastAsia" w:ascii="宋体" w:hAnsi="宋体" w:eastAsia="宋体" w:cs="宋体"/>
                <w:color w:val="000000"/>
                <w:kern w:val="0"/>
                <w:szCs w:val="21"/>
                <w:lang w:bidi="ar"/>
              </w:rPr>
              <w:t>局、农业农村局、卫健局、残联</w:t>
            </w:r>
          </w:p>
        </w:tc>
      </w:tr>
      <w:tr>
        <w:tblPrEx>
          <w:tblCellMar>
            <w:top w:w="15" w:type="dxa"/>
            <w:left w:w="15" w:type="dxa"/>
            <w:bottom w:w="15" w:type="dxa"/>
            <w:right w:w="15" w:type="dxa"/>
          </w:tblCellMar>
        </w:tblPrEx>
        <w:trPr>
          <w:trHeight w:val="216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对国家和</w:t>
            </w:r>
          </w:p>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社会做出</w:t>
            </w:r>
          </w:p>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特殊贡献</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的老年人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集中供养和优惠优待服务相结合</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老年烈士遗属、因公牺牲军人遗属、病故军人遗属和进入老年的残疾军人、复员军人、退伍军人，无法定赡养人、扶养人或法定赡养人、扶养人无赡养、扶养能力且享受国家定期抚恤补助待遇的，提供集中供养、医疗等保障；</w:t>
            </w:r>
            <w:r>
              <w:rPr>
                <w:rFonts w:hint="eastAsia" w:ascii="宋体" w:hAnsi="宋体" w:eastAsia="宋体" w:cs="宋体"/>
                <w:color w:val="000000"/>
                <w:kern w:val="0"/>
                <w:szCs w:val="21"/>
                <w:lang w:bidi="ar"/>
              </w:rPr>
              <w:br w:type="textWrapping"/>
            </w:r>
            <w:r>
              <w:rPr>
                <w:rFonts w:ascii="宋体" w:hAnsi="宋体" w:eastAsia="宋体" w:cs="宋体"/>
                <w:color w:val="000000"/>
                <w:kern w:val="0"/>
                <w:szCs w:val="21"/>
                <w:lang w:bidi="ar"/>
              </w:rPr>
              <w:t>2</w:t>
            </w:r>
            <w:r>
              <w:rPr>
                <w:rFonts w:hint="eastAsia" w:ascii="宋体" w:hAnsi="宋体" w:eastAsia="宋体" w:cs="宋体"/>
                <w:color w:val="000000"/>
                <w:kern w:val="0"/>
                <w:szCs w:val="21"/>
                <w:lang w:bidi="ar"/>
              </w:rPr>
              <w:t>.同等条件下优先入住政府投资兴办的养老机构。</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照护服务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区退役军人事务局、民政局</w:t>
            </w:r>
          </w:p>
        </w:tc>
      </w:tr>
      <w:tr>
        <w:tblPrEx>
          <w:tblCellMar>
            <w:top w:w="15" w:type="dxa"/>
            <w:left w:w="15" w:type="dxa"/>
            <w:bottom w:w="15" w:type="dxa"/>
            <w:right w:w="15" w:type="dxa"/>
          </w:tblCellMar>
        </w:tblPrEx>
        <w:trPr>
          <w:trHeight w:val="94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计划生育</w:t>
            </w:r>
          </w:p>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特殊家庭</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优先享受机构养老</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同等条件下优先入住政府投资兴办的养老机构。</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照护服务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w:t>
            </w:r>
          </w:p>
        </w:tc>
      </w:tr>
      <w:tr>
        <w:tblPrEx>
          <w:tblCellMar>
            <w:top w:w="15" w:type="dxa"/>
            <w:left w:w="15" w:type="dxa"/>
            <w:bottom w:w="15" w:type="dxa"/>
            <w:right w:w="15" w:type="dxa"/>
          </w:tblCellMar>
        </w:tblPrEx>
        <w:trPr>
          <w:trHeight w:val="2624"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经认定符合条件的残疾老年人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困难残疾人生活补贴和重度残疾人护理补贴</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1.为城乡低保家庭中的残疾老年人、家庭年人均收入在当地城乡低保标准100%—130％的重度残疾人、60周岁及以上无固定收入的重度残疾人提供生活补贴；</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2.为残疾等级被评定为一级、二级且需要长期照护的重度残疾老年人提供护理补贴。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物质帮助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w:t>
            </w:r>
          </w:p>
        </w:tc>
      </w:tr>
      <w:tr>
        <w:tblPrEx>
          <w:tblCellMar>
            <w:top w:w="15" w:type="dxa"/>
            <w:left w:w="15" w:type="dxa"/>
            <w:bottom w:w="15" w:type="dxa"/>
            <w:right w:w="15" w:type="dxa"/>
          </w:tblCellMar>
        </w:tblPrEx>
        <w:trPr>
          <w:trHeight w:val="1081"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生活无着的流量、乞讨老年人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社会救助</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依照有关规定给予救助。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物质帮助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w:t>
            </w:r>
          </w:p>
        </w:tc>
      </w:tr>
      <w:tr>
        <w:tblPrEx>
          <w:tblCellMar>
            <w:top w:w="15" w:type="dxa"/>
            <w:left w:w="15" w:type="dxa"/>
            <w:bottom w:w="15" w:type="dxa"/>
            <w:right w:w="15" w:type="dxa"/>
          </w:tblCellMar>
        </w:tblPrEx>
        <w:trPr>
          <w:trHeight w:val="218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榕台外埠</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老年人</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Cs w:val="21"/>
                <w:lang w:bidi="ar"/>
              </w:rPr>
              <w:t>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榕台外埠老年人保障</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符合相关法律法规和政策条件的，在本区长期居住生活的台湾地区老年居民，与本区居民同等享受普惠养老服务；</w:t>
            </w:r>
          </w:p>
          <w:p>
            <w:pPr>
              <w:widowControl/>
              <w:numPr>
                <w:ilvl w:val="0"/>
                <w:numId w:val="2"/>
              </w:numPr>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外埠老年人到子女所在城市与子女共同生活的，有关部门应当在医保结算、公共交通等方面给予养老服务便利。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关爱服务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区民政局、医保局、交通</w:t>
            </w:r>
            <w:r>
              <w:rPr>
                <w:rFonts w:hint="eastAsia" w:ascii="宋体" w:hAnsi="宋体" w:eastAsia="宋体" w:cs="宋体"/>
                <w:kern w:val="0"/>
                <w:szCs w:val="21"/>
                <w:lang w:bidi="ar"/>
              </w:rPr>
              <w:t>局、台港澳办</w:t>
            </w:r>
          </w:p>
        </w:tc>
      </w:tr>
    </w:tbl>
    <w:p>
      <w:pPr>
        <w:spacing w:line="20" w:lineRule="exact"/>
        <w:rPr>
          <w:rFonts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3314600"/>
      <w:docPartObj>
        <w:docPartGallery w:val="autotext"/>
      </w:docPartObj>
    </w:sdtPr>
    <w:sdtEndPr>
      <w:rPr>
        <w:rFonts w:hint="eastAsia" w:ascii="仿宋_GB2312" w:eastAsia="仿宋_GB2312"/>
        <w:sz w:val="28"/>
        <w:szCs w:val="28"/>
      </w:rPr>
    </w:sdtEndPr>
    <w:sdtContent>
      <w:p>
        <w:pPr>
          <w:pStyle w:val="3"/>
          <w:jc w:val="center"/>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071B2"/>
    <w:multiLevelType w:val="singleLevel"/>
    <w:tmpl w:val="65B071B2"/>
    <w:lvl w:ilvl="0" w:tentative="0">
      <w:start w:val="1"/>
      <w:numFmt w:val="decimal"/>
      <w:suff w:val="nothing"/>
      <w:lvlText w:val="%1."/>
      <w:lvlJc w:val="left"/>
    </w:lvl>
  </w:abstractNum>
  <w:abstractNum w:abstractNumId="1">
    <w:nsid w:val="65B0CD73"/>
    <w:multiLevelType w:val="singleLevel"/>
    <w:tmpl w:val="65B0CD7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C16"/>
    <w:rsid w:val="00006810"/>
    <w:rsid w:val="00012C47"/>
    <w:rsid w:val="000368C4"/>
    <w:rsid w:val="000B0CD6"/>
    <w:rsid w:val="000C4358"/>
    <w:rsid w:val="000E11AC"/>
    <w:rsid w:val="000F7F1B"/>
    <w:rsid w:val="00101205"/>
    <w:rsid w:val="00106E84"/>
    <w:rsid w:val="00160459"/>
    <w:rsid w:val="00197B5F"/>
    <w:rsid w:val="001B1024"/>
    <w:rsid w:val="001D4E0A"/>
    <w:rsid w:val="00231D40"/>
    <w:rsid w:val="00231DA4"/>
    <w:rsid w:val="002654A7"/>
    <w:rsid w:val="00297C7B"/>
    <w:rsid w:val="002B0570"/>
    <w:rsid w:val="002C7C6C"/>
    <w:rsid w:val="002D2585"/>
    <w:rsid w:val="00305989"/>
    <w:rsid w:val="00315703"/>
    <w:rsid w:val="00326F1C"/>
    <w:rsid w:val="00350374"/>
    <w:rsid w:val="0035720F"/>
    <w:rsid w:val="0036469E"/>
    <w:rsid w:val="003A0F5E"/>
    <w:rsid w:val="003F28D9"/>
    <w:rsid w:val="003F294E"/>
    <w:rsid w:val="0041197B"/>
    <w:rsid w:val="00473FFF"/>
    <w:rsid w:val="004808BD"/>
    <w:rsid w:val="00491F65"/>
    <w:rsid w:val="004D6278"/>
    <w:rsid w:val="004F02B6"/>
    <w:rsid w:val="005458C4"/>
    <w:rsid w:val="00570606"/>
    <w:rsid w:val="00571532"/>
    <w:rsid w:val="005A0DE0"/>
    <w:rsid w:val="005E30DF"/>
    <w:rsid w:val="005F3D21"/>
    <w:rsid w:val="005F4037"/>
    <w:rsid w:val="00603FE7"/>
    <w:rsid w:val="00612D25"/>
    <w:rsid w:val="00620C51"/>
    <w:rsid w:val="00636E18"/>
    <w:rsid w:val="006668AB"/>
    <w:rsid w:val="006C22ED"/>
    <w:rsid w:val="00714F6C"/>
    <w:rsid w:val="00722539"/>
    <w:rsid w:val="00722B22"/>
    <w:rsid w:val="00746670"/>
    <w:rsid w:val="0076358B"/>
    <w:rsid w:val="007A1E8C"/>
    <w:rsid w:val="007F1C16"/>
    <w:rsid w:val="00801786"/>
    <w:rsid w:val="00815987"/>
    <w:rsid w:val="00832A4A"/>
    <w:rsid w:val="008364E0"/>
    <w:rsid w:val="008852A7"/>
    <w:rsid w:val="008931BC"/>
    <w:rsid w:val="008B0DD8"/>
    <w:rsid w:val="008B6638"/>
    <w:rsid w:val="008C087F"/>
    <w:rsid w:val="009103D7"/>
    <w:rsid w:val="00925914"/>
    <w:rsid w:val="009359BA"/>
    <w:rsid w:val="00940BEB"/>
    <w:rsid w:val="009569C5"/>
    <w:rsid w:val="00981216"/>
    <w:rsid w:val="00996865"/>
    <w:rsid w:val="009B3E8F"/>
    <w:rsid w:val="009C264E"/>
    <w:rsid w:val="009D5737"/>
    <w:rsid w:val="00A10F37"/>
    <w:rsid w:val="00A11F2C"/>
    <w:rsid w:val="00A136C2"/>
    <w:rsid w:val="00A241E8"/>
    <w:rsid w:val="00A61009"/>
    <w:rsid w:val="00A81294"/>
    <w:rsid w:val="00A86504"/>
    <w:rsid w:val="00AA7D81"/>
    <w:rsid w:val="00AB6A80"/>
    <w:rsid w:val="00B72D25"/>
    <w:rsid w:val="00B73285"/>
    <w:rsid w:val="00B76B0F"/>
    <w:rsid w:val="00B7702A"/>
    <w:rsid w:val="00B921B3"/>
    <w:rsid w:val="00B965E6"/>
    <w:rsid w:val="00BA2453"/>
    <w:rsid w:val="00BB2459"/>
    <w:rsid w:val="00BC15F4"/>
    <w:rsid w:val="00C21562"/>
    <w:rsid w:val="00C907EF"/>
    <w:rsid w:val="00C92047"/>
    <w:rsid w:val="00D4359F"/>
    <w:rsid w:val="00D70EEB"/>
    <w:rsid w:val="00D775B1"/>
    <w:rsid w:val="00D84403"/>
    <w:rsid w:val="00D9504B"/>
    <w:rsid w:val="00E419D1"/>
    <w:rsid w:val="00E71F3F"/>
    <w:rsid w:val="00E74BD8"/>
    <w:rsid w:val="00E86A6C"/>
    <w:rsid w:val="00EA042E"/>
    <w:rsid w:val="00EA44EE"/>
    <w:rsid w:val="00EF2B96"/>
    <w:rsid w:val="00F10AE5"/>
    <w:rsid w:val="00F26AFC"/>
    <w:rsid w:val="00F53C57"/>
    <w:rsid w:val="00F64407"/>
    <w:rsid w:val="00F8099B"/>
    <w:rsid w:val="00FA1EE4"/>
    <w:rsid w:val="00FA7137"/>
    <w:rsid w:val="00FD3580"/>
    <w:rsid w:val="00FE506A"/>
    <w:rsid w:val="0113068A"/>
    <w:rsid w:val="013D1ADF"/>
    <w:rsid w:val="01714E9E"/>
    <w:rsid w:val="042D7770"/>
    <w:rsid w:val="059B01B0"/>
    <w:rsid w:val="06C83954"/>
    <w:rsid w:val="07050F47"/>
    <w:rsid w:val="07CD3E96"/>
    <w:rsid w:val="08034E31"/>
    <w:rsid w:val="0B821AE0"/>
    <w:rsid w:val="11CA7D0A"/>
    <w:rsid w:val="11D7003E"/>
    <w:rsid w:val="12AE4226"/>
    <w:rsid w:val="132D398F"/>
    <w:rsid w:val="14685F35"/>
    <w:rsid w:val="172E0A55"/>
    <w:rsid w:val="188974D7"/>
    <w:rsid w:val="1AA10E5F"/>
    <w:rsid w:val="1AA923D8"/>
    <w:rsid w:val="1BC22518"/>
    <w:rsid w:val="1BF6B627"/>
    <w:rsid w:val="1C480F1F"/>
    <w:rsid w:val="1F0D23BF"/>
    <w:rsid w:val="1F615DD8"/>
    <w:rsid w:val="1FB52588"/>
    <w:rsid w:val="1FF361BD"/>
    <w:rsid w:val="209B0072"/>
    <w:rsid w:val="224C06B3"/>
    <w:rsid w:val="26731859"/>
    <w:rsid w:val="281D628A"/>
    <w:rsid w:val="287422DA"/>
    <w:rsid w:val="2AA15B2E"/>
    <w:rsid w:val="2AC01D38"/>
    <w:rsid w:val="2C29570B"/>
    <w:rsid w:val="2CFF51F4"/>
    <w:rsid w:val="2EA66B25"/>
    <w:rsid w:val="2F5FB0EF"/>
    <w:rsid w:val="36421DAC"/>
    <w:rsid w:val="3BD65756"/>
    <w:rsid w:val="3DBB2818"/>
    <w:rsid w:val="3EDE9763"/>
    <w:rsid w:val="3FBB2143"/>
    <w:rsid w:val="426B1BF7"/>
    <w:rsid w:val="43116F85"/>
    <w:rsid w:val="449749BB"/>
    <w:rsid w:val="44D70A60"/>
    <w:rsid w:val="459632D8"/>
    <w:rsid w:val="465F294C"/>
    <w:rsid w:val="4680678C"/>
    <w:rsid w:val="468811F8"/>
    <w:rsid w:val="47C77B86"/>
    <w:rsid w:val="48EF1964"/>
    <w:rsid w:val="4A2F67E6"/>
    <w:rsid w:val="4D1C7720"/>
    <w:rsid w:val="4D1E6903"/>
    <w:rsid w:val="4D474649"/>
    <w:rsid w:val="4E6CA72E"/>
    <w:rsid w:val="52390DAA"/>
    <w:rsid w:val="56536D46"/>
    <w:rsid w:val="567F3C57"/>
    <w:rsid w:val="56810B3A"/>
    <w:rsid w:val="56B22B98"/>
    <w:rsid w:val="59F46F50"/>
    <w:rsid w:val="5BCB206A"/>
    <w:rsid w:val="5C3E7C21"/>
    <w:rsid w:val="5E7CB2D0"/>
    <w:rsid w:val="60812223"/>
    <w:rsid w:val="60A82583"/>
    <w:rsid w:val="61F8732F"/>
    <w:rsid w:val="626F467B"/>
    <w:rsid w:val="62AB41BD"/>
    <w:rsid w:val="666C6781"/>
    <w:rsid w:val="66AC7B38"/>
    <w:rsid w:val="6AC21BA4"/>
    <w:rsid w:val="6CB47C91"/>
    <w:rsid w:val="6CF67A5B"/>
    <w:rsid w:val="6D9E4BFB"/>
    <w:rsid w:val="6EAD4D4B"/>
    <w:rsid w:val="707B5451"/>
    <w:rsid w:val="74FA4440"/>
    <w:rsid w:val="76AB0128"/>
    <w:rsid w:val="76C302E3"/>
    <w:rsid w:val="773FA451"/>
    <w:rsid w:val="78136CE5"/>
    <w:rsid w:val="79CE2EB2"/>
    <w:rsid w:val="79DC6D21"/>
    <w:rsid w:val="7B5D2326"/>
    <w:rsid w:val="7DB63C4A"/>
    <w:rsid w:val="7E013F37"/>
    <w:rsid w:val="7E88563C"/>
    <w:rsid w:val="7FABBB41"/>
    <w:rsid w:val="EFE75511"/>
    <w:rsid w:val="EFFF9DC1"/>
    <w:rsid w:val="FE738495"/>
    <w:rsid w:val="FFF30205"/>
    <w:rsid w:val="FFFB9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customStyle="1" w:styleId="8">
    <w:name w:val="列表段落1"/>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未处理的提及1"/>
    <w:basedOn w:val="6"/>
    <w:unhideWhenUsed/>
    <w:qFormat/>
    <w:uiPriority w:val="99"/>
    <w:rPr>
      <w:color w:val="605E5C"/>
      <w:shd w:val="clear" w:color="auto" w:fill="E1DFDD"/>
    </w:rPr>
  </w:style>
  <w:style w:type="character" w:customStyle="1" w:styleId="12">
    <w:name w:val="font11"/>
    <w:basedOn w:val="6"/>
    <w:qFormat/>
    <w:uiPriority w:val="0"/>
    <w:rPr>
      <w:rFonts w:hint="eastAsia" w:ascii="宋体" w:hAnsi="宋体" w:eastAsia="宋体" w:cs="宋体"/>
      <w:color w:val="000000"/>
      <w:sz w:val="22"/>
      <w:szCs w:val="22"/>
      <w:u w:val="none"/>
    </w:rPr>
  </w:style>
  <w:style w:type="character" w:customStyle="1" w:styleId="13">
    <w:name w:val="批注框文本 字符"/>
    <w:basedOn w:val="6"/>
    <w:link w:val="2"/>
    <w:semiHidden/>
    <w:qFormat/>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Pages>
  <Words>1208</Words>
  <Characters>6886</Characters>
  <Lines>57</Lines>
  <Paragraphs>16</Paragraphs>
  <TotalTime>262</TotalTime>
  <ScaleCrop>false</ScaleCrop>
  <LinksUpToDate>false</LinksUpToDate>
  <CharactersWithSpaces>8078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2024-09-07T00:21:00Z</dcterms:created>
  <dc:creator>YAYA L</dc:creator>
  <cp:lastModifiedBy>LS</cp:lastModifiedBy>
  <cp:lastPrinted>2024-09-27T19:18:00Z</cp:lastPrinted>
  <dcterms:modified xsi:type="dcterms:W3CDTF">2024-10-21T14:58:18Z</dcterms:modified>
  <dc:title>附件1</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838A3AF1AE19CF3E8AFB1567A087B87E</vt:lpwstr>
  </property>
</Properties>
</file>