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F99" w:rsidRDefault="00840111">
      <w:pPr>
        <w:spacing w:line="560" w:lineRule="exact"/>
        <w:jc w:val="left"/>
        <w:rPr>
          <w:rFonts w:ascii="黑体" w:eastAsia="黑体" w:hAnsi="黑体" w:cs="黑体"/>
          <w:sz w:val="32"/>
          <w:szCs w:val="32"/>
        </w:rPr>
      </w:pPr>
      <w:r>
        <w:rPr>
          <w:rFonts w:ascii="黑体" w:eastAsia="黑体" w:hAnsi="黑体" w:cs="黑体" w:hint="eastAsia"/>
          <w:sz w:val="32"/>
          <w:szCs w:val="32"/>
        </w:rPr>
        <w:t>附件：</w:t>
      </w:r>
    </w:p>
    <w:p w:rsidR="00652F99" w:rsidRDefault="00652F99">
      <w:pPr>
        <w:spacing w:line="560" w:lineRule="exact"/>
        <w:jc w:val="left"/>
        <w:rPr>
          <w:rFonts w:ascii="方正小标宋简体" w:eastAsia="方正小标宋简体" w:hAnsi="微软雅黑"/>
          <w:sz w:val="44"/>
          <w:szCs w:val="44"/>
        </w:rPr>
      </w:pPr>
    </w:p>
    <w:p w:rsidR="00652F99" w:rsidRDefault="00840111">
      <w:pPr>
        <w:spacing w:line="560" w:lineRule="exact"/>
        <w:jc w:val="center"/>
        <w:rPr>
          <w:rFonts w:ascii="方正小标宋简体" w:eastAsia="方正小标宋简体" w:hAnsi="微软雅黑"/>
          <w:sz w:val="44"/>
          <w:szCs w:val="44"/>
        </w:rPr>
      </w:pPr>
      <w:r>
        <w:rPr>
          <w:rFonts w:ascii="方正小标宋简体" w:eastAsia="方正小标宋简体" w:hAnsi="微软雅黑" w:hint="eastAsia"/>
          <w:sz w:val="44"/>
          <w:szCs w:val="44"/>
        </w:rPr>
        <w:t>长</w:t>
      </w:r>
      <w:proofErr w:type="gramStart"/>
      <w:r>
        <w:rPr>
          <w:rFonts w:ascii="方正小标宋简体" w:eastAsia="方正小标宋简体" w:hAnsi="微软雅黑" w:hint="eastAsia"/>
          <w:sz w:val="44"/>
          <w:szCs w:val="44"/>
        </w:rPr>
        <w:t>乐区</w:t>
      </w:r>
      <w:r>
        <w:rPr>
          <w:rFonts w:ascii="方正小标宋简体" w:eastAsia="方正小标宋简体" w:hAnsi="微软雅黑" w:hint="eastAsia"/>
          <w:sz w:val="44"/>
          <w:szCs w:val="44"/>
        </w:rPr>
        <w:t>前董村</w:t>
      </w:r>
      <w:proofErr w:type="gramEnd"/>
      <w:r>
        <w:rPr>
          <w:rFonts w:ascii="方正小标宋简体" w:eastAsia="方正小标宋简体" w:hAnsi="微软雅黑" w:hint="eastAsia"/>
          <w:sz w:val="44"/>
          <w:szCs w:val="44"/>
        </w:rPr>
        <w:t>南侧片区</w:t>
      </w:r>
    </w:p>
    <w:p w:rsidR="00652F99" w:rsidRDefault="00840111">
      <w:pPr>
        <w:spacing w:line="560" w:lineRule="exact"/>
        <w:jc w:val="center"/>
        <w:rPr>
          <w:rFonts w:ascii="方正小标宋简体" w:eastAsia="方正小标宋简体" w:hAnsi="微软雅黑"/>
          <w:sz w:val="44"/>
          <w:szCs w:val="44"/>
        </w:rPr>
      </w:pPr>
      <w:r>
        <w:rPr>
          <w:rFonts w:ascii="方正小标宋简体" w:eastAsia="方正小标宋简体" w:hAnsi="微软雅黑" w:hint="eastAsia"/>
          <w:sz w:val="44"/>
          <w:szCs w:val="44"/>
        </w:rPr>
        <w:t>土地征收成片开发</w:t>
      </w:r>
      <w:r>
        <w:rPr>
          <w:rFonts w:ascii="方正小标宋简体" w:eastAsia="方正小标宋简体" w:hAnsi="微软雅黑"/>
          <w:sz w:val="44"/>
          <w:szCs w:val="44"/>
        </w:rPr>
        <w:t>方案</w:t>
      </w:r>
    </w:p>
    <w:p w:rsidR="00652F99" w:rsidRDefault="00840111">
      <w:pPr>
        <w:spacing w:line="560" w:lineRule="exact"/>
        <w:jc w:val="center"/>
        <w:rPr>
          <w:rFonts w:ascii="方正小标宋简体" w:eastAsia="方正小标宋简体" w:hAnsi="微软雅黑"/>
          <w:sz w:val="44"/>
          <w:szCs w:val="44"/>
        </w:rPr>
      </w:pPr>
      <w:r>
        <w:rPr>
          <w:rFonts w:ascii="方正小标宋简体" w:eastAsia="方正小标宋简体" w:hAnsi="微软雅黑" w:hint="eastAsia"/>
          <w:sz w:val="44"/>
          <w:szCs w:val="44"/>
        </w:rPr>
        <w:t>（征求意见稿）</w:t>
      </w:r>
    </w:p>
    <w:p w:rsidR="00652F99" w:rsidRDefault="00652F99">
      <w:pPr>
        <w:spacing w:line="560" w:lineRule="exact"/>
        <w:jc w:val="center"/>
        <w:rPr>
          <w:rFonts w:ascii="方正小标宋简体" w:eastAsia="方正小标宋简体" w:hAnsi="微软雅黑"/>
          <w:sz w:val="44"/>
          <w:szCs w:val="44"/>
        </w:rPr>
      </w:pP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一、编制依据</w:t>
      </w:r>
    </w:p>
    <w:p w:rsidR="00652F99" w:rsidRDefault="00840111">
      <w:pPr>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依据《中华人民共和国土地管理法》（</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年修正版）、《中华人民共和国土地管理法实施条例》（</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年修订）、《自然资源部办公厅关于北京等省（区、市）启用“三区三线”划定成果作为报批建设项目用地用海依据的函》（自然资办函〔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2207</w:t>
      </w:r>
      <w:r>
        <w:rPr>
          <w:rFonts w:ascii="仿宋_GB2312" w:eastAsia="仿宋_GB2312" w:hAnsi="仿宋_GB2312" w:cs="仿宋_GB2312" w:hint="eastAsia"/>
          <w:sz w:val="32"/>
          <w:szCs w:val="32"/>
        </w:rPr>
        <w:t>号）、《自然资源部关于印发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国土空间调查、规划、用途管制用地用海分类指南</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w:t>
      </w:r>
      <w:proofErr w:type="gramStart"/>
      <w:r>
        <w:rPr>
          <w:rFonts w:ascii="仿宋_GB2312" w:eastAsia="仿宋_GB2312" w:hAnsi="仿宋_GB2312" w:cs="仿宋_GB2312" w:hint="eastAsia"/>
          <w:sz w:val="32"/>
          <w:szCs w:val="32"/>
        </w:rPr>
        <w:t>自然资发〔</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234</w:t>
      </w:r>
      <w:r>
        <w:rPr>
          <w:rFonts w:ascii="仿宋_GB2312" w:eastAsia="仿宋_GB2312" w:hAnsi="仿宋_GB2312" w:cs="仿宋_GB2312" w:hint="eastAsia"/>
          <w:sz w:val="32"/>
          <w:szCs w:val="32"/>
        </w:rPr>
        <w:t>号）、《自然资源部关于印发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土地征收成片开发标准</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的通知》（自然资</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号）等文件要求，</w:t>
      </w:r>
      <w:r>
        <w:rPr>
          <w:rFonts w:ascii="仿宋_GB2312" w:eastAsia="仿宋_GB2312" w:hAnsi="宋体" w:hint="eastAsia"/>
          <w:sz w:val="32"/>
          <w:szCs w:val="32"/>
        </w:rPr>
        <w:t>编制《</w:t>
      </w:r>
      <w:r>
        <w:rPr>
          <w:rFonts w:ascii="仿宋_GB2312" w:eastAsia="仿宋_GB2312" w:hAnsi="宋体" w:hint="eastAsia"/>
          <w:sz w:val="32"/>
          <w:szCs w:val="32"/>
        </w:rPr>
        <w:t>长乐区</w:t>
      </w:r>
      <w:r>
        <w:rPr>
          <w:rFonts w:ascii="仿宋_GB2312" w:eastAsia="仿宋_GB2312" w:hAnsi="宋体" w:hint="eastAsia"/>
          <w:sz w:val="32"/>
          <w:szCs w:val="32"/>
        </w:rPr>
        <w:t>前董村南侧片区土地征收成片开发方案（征求意见稿）》。</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二、基本情况</w:t>
      </w:r>
    </w:p>
    <w:p w:rsidR="00652F99" w:rsidRDefault="00840111">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本方案涉及文岭镇</w:t>
      </w:r>
      <w:proofErr w:type="gramStart"/>
      <w:r>
        <w:rPr>
          <w:rFonts w:ascii="Times New Roman" w:eastAsia="仿宋_GB2312" w:hAnsi="Times New Roman" w:hint="eastAsia"/>
          <w:color w:val="000000" w:themeColor="text1"/>
          <w:sz w:val="32"/>
          <w:szCs w:val="32"/>
        </w:rPr>
        <w:t>的前董村</w:t>
      </w:r>
      <w:proofErr w:type="gramEnd"/>
      <w:r>
        <w:rPr>
          <w:rFonts w:ascii="Times New Roman" w:eastAsia="仿宋_GB2312" w:hAnsi="Times New Roman" w:hint="eastAsia"/>
          <w:color w:val="000000" w:themeColor="text1"/>
          <w:sz w:val="32"/>
          <w:szCs w:val="32"/>
        </w:rPr>
        <w:t>和东庄村，</w:t>
      </w:r>
      <w:r>
        <w:rPr>
          <w:rFonts w:ascii="Times New Roman" w:eastAsia="仿宋_GB2312" w:hAnsi="Times New Roman"/>
          <w:color w:val="000000" w:themeColor="text1"/>
          <w:sz w:val="32"/>
          <w:szCs w:val="32"/>
        </w:rPr>
        <w:t>具体范围为：</w:t>
      </w:r>
      <w:proofErr w:type="gramStart"/>
      <w:r>
        <w:rPr>
          <w:rFonts w:ascii="Times New Roman" w:eastAsia="仿宋_GB2312" w:hAnsi="Times New Roman"/>
          <w:color w:val="000000" w:themeColor="text1"/>
          <w:sz w:val="32"/>
          <w:szCs w:val="32"/>
        </w:rPr>
        <w:t>东至文松右路</w:t>
      </w:r>
      <w:proofErr w:type="gramEnd"/>
      <w:r>
        <w:rPr>
          <w:rFonts w:ascii="Times New Roman" w:eastAsia="仿宋_GB2312" w:hAnsi="Times New Roman"/>
          <w:color w:val="000000" w:themeColor="text1"/>
          <w:sz w:val="32"/>
          <w:szCs w:val="32"/>
        </w:rPr>
        <w:t>，西至天塌湖，北至</w:t>
      </w:r>
      <w:proofErr w:type="gramStart"/>
      <w:r>
        <w:rPr>
          <w:rFonts w:ascii="Times New Roman" w:eastAsia="仿宋_GB2312" w:hAnsi="Times New Roman"/>
          <w:color w:val="000000" w:themeColor="text1"/>
          <w:sz w:val="32"/>
          <w:szCs w:val="32"/>
        </w:rPr>
        <w:t>文鹤路</w:t>
      </w:r>
      <w:proofErr w:type="gramEnd"/>
      <w:r>
        <w:rPr>
          <w:rFonts w:ascii="Times New Roman" w:eastAsia="仿宋_GB2312" w:hAnsi="Times New Roman"/>
          <w:color w:val="000000" w:themeColor="text1"/>
          <w:sz w:val="32"/>
          <w:szCs w:val="32"/>
        </w:rPr>
        <w:t>，南</w:t>
      </w:r>
      <w:proofErr w:type="gramStart"/>
      <w:r>
        <w:rPr>
          <w:rFonts w:ascii="Times New Roman" w:eastAsia="仿宋_GB2312" w:hAnsi="Times New Roman"/>
          <w:color w:val="000000" w:themeColor="text1"/>
          <w:sz w:val="32"/>
          <w:szCs w:val="32"/>
        </w:rPr>
        <w:t>至规划</w:t>
      </w:r>
      <w:proofErr w:type="gramEnd"/>
      <w:r>
        <w:rPr>
          <w:rFonts w:ascii="Times New Roman" w:eastAsia="仿宋_GB2312" w:hAnsi="Times New Roman"/>
          <w:color w:val="000000" w:themeColor="text1"/>
          <w:sz w:val="32"/>
          <w:szCs w:val="32"/>
        </w:rPr>
        <w:t>支路。</w:t>
      </w:r>
      <w:r>
        <w:rPr>
          <w:rFonts w:ascii="Times New Roman" w:eastAsia="仿宋_GB2312" w:hAnsi="Times New Roman" w:hint="eastAsia"/>
          <w:color w:val="000000" w:themeColor="text1"/>
          <w:sz w:val="32"/>
          <w:szCs w:val="32"/>
        </w:rPr>
        <w:t>共</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个镇</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个村，及</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个国有单位，不涉及省级和国家级开发区。</w:t>
      </w:r>
    </w:p>
    <w:p w:rsidR="00652F99" w:rsidRDefault="00840111">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根据实地勘测调查，本方案成片开发范围总面积</w:t>
      </w:r>
      <w:r>
        <w:rPr>
          <w:rFonts w:ascii="Times New Roman" w:eastAsia="仿宋_GB2312" w:hAnsi="Times New Roman"/>
          <w:color w:val="000000" w:themeColor="text1"/>
          <w:sz w:val="32"/>
          <w:szCs w:val="32"/>
        </w:rPr>
        <w:t>10.4913</w:t>
      </w:r>
      <w:r>
        <w:rPr>
          <w:rFonts w:ascii="Times New Roman" w:eastAsia="仿宋_GB2312" w:hAnsi="Times New Roman"/>
          <w:color w:val="000000" w:themeColor="text1"/>
          <w:sz w:val="32"/>
          <w:szCs w:val="32"/>
        </w:rPr>
        <w:t>公</w:t>
      </w:r>
      <w:r>
        <w:rPr>
          <w:rFonts w:ascii="Times New Roman" w:eastAsia="仿宋_GB2312" w:hAnsi="Times New Roman"/>
          <w:color w:val="000000" w:themeColor="text1"/>
          <w:sz w:val="32"/>
          <w:szCs w:val="32"/>
        </w:rPr>
        <w:lastRenderedPageBreak/>
        <w:t>顷，涉及集体土地面积</w:t>
      </w:r>
      <w:r>
        <w:rPr>
          <w:rFonts w:ascii="Times New Roman" w:eastAsia="仿宋_GB2312" w:hAnsi="Times New Roman"/>
          <w:color w:val="000000" w:themeColor="text1"/>
          <w:sz w:val="32"/>
          <w:szCs w:val="32"/>
        </w:rPr>
        <w:t>3.0150</w:t>
      </w:r>
      <w:r>
        <w:rPr>
          <w:rFonts w:ascii="Times New Roman" w:eastAsia="仿宋_GB2312" w:hAnsi="Times New Roman"/>
          <w:color w:val="000000" w:themeColor="text1"/>
          <w:sz w:val="32"/>
          <w:szCs w:val="32"/>
        </w:rPr>
        <w:t>公顷，国有土地面积</w:t>
      </w:r>
      <w:r>
        <w:rPr>
          <w:rFonts w:ascii="Times New Roman" w:eastAsia="仿宋_GB2312" w:hAnsi="Times New Roman"/>
          <w:color w:val="000000" w:themeColor="text1"/>
          <w:sz w:val="32"/>
          <w:szCs w:val="32"/>
        </w:rPr>
        <w:t>7.4763</w:t>
      </w:r>
      <w:r>
        <w:rPr>
          <w:rFonts w:ascii="Times New Roman" w:eastAsia="仿宋_GB2312" w:hAnsi="Times New Roman"/>
          <w:color w:val="000000" w:themeColor="text1"/>
          <w:sz w:val="32"/>
          <w:szCs w:val="32"/>
        </w:rPr>
        <w:t>公顷。其中：农用地</w:t>
      </w:r>
      <w:r>
        <w:rPr>
          <w:rFonts w:ascii="Times New Roman" w:eastAsia="仿宋_GB2312" w:hAnsi="Times New Roman" w:hint="eastAsia"/>
          <w:color w:val="000000" w:themeColor="text1"/>
          <w:sz w:val="32"/>
          <w:szCs w:val="32"/>
        </w:rPr>
        <w:t>2.9223</w:t>
      </w:r>
      <w:r>
        <w:rPr>
          <w:rFonts w:ascii="Times New Roman" w:eastAsia="仿宋_GB2312" w:hAnsi="Times New Roman"/>
          <w:color w:val="000000" w:themeColor="text1"/>
          <w:sz w:val="32"/>
          <w:szCs w:val="32"/>
        </w:rPr>
        <w:t>公顷（其中：耕地</w:t>
      </w:r>
      <w:r>
        <w:rPr>
          <w:rFonts w:ascii="Times New Roman" w:eastAsia="仿宋_GB2312" w:hAnsi="Times New Roman"/>
          <w:color w:val="000000" w:themeColor="text1"/>
          <w:sz w:val="32"/>
          <w:szCs w:val="32"/>
        </w:rPr>
        <w:t>0.8467</w:t>
      </w:r>
      <w:r>
        <w:rPr>
          <w:rFonts w:ascii="Times New Roman" w:eastAsia="仿宋_GB2312" w:hAnsi="Times New Roman"/>
          <w:color w:val="000000" w:themeColor="text1"/>
          <w:sz w:val="32"/>
          <w:szCs w:val="32"/>
        </w:rPr>
        <w:t>公顷），建设用地</w:t>
      </w:r>
      <w:r>
        <w:rPr>
          <w:rFonts w:ascii="Times New Roman" w:eastAsia="Times New Roman" w:hAnsi="Times New Roman" w:hint="eastAsia"/>
          <w:color w:val="000000"/>
          <w:sz w:val="32"/>
        </w:rPr>
        <w:t>7.4763</w:t>
      </w:r>
      <w:r>
        <w:rPr>
          <w:rFonts w:ascii="Times New Roman" w:eastAsia="仿宋_GB2312" w:hAnsi="Times New Roman"/>
          <w:color w:val="000000" w:themeColor="text1"/>
          <w:sz w:val="32"/>
          <w:szCs w:val="32"/>
        </w:rPr>
        <w:t>公顷，未利用地</w:t>
      </w:r>
      <w:r>
        <w:rPr>
          <w:rFonts w:ascii="Times New Roman" w:eastAsia="仿宋_GB2312" w:hAnsi="Times New Roman" w:hint="eastAsia"/>
          <w:color w:val="000000" w:themeColor="text1"/>
          <w:sz w:val="32"/>
          <w:szCs w:val="32"/>
        </w:rPr>
        <w:t>0.0927</w:t>
      </w:r>
      <w:r>
        <w:rPr>
          <w:rFonts w:ascii="Times New Roman" w:eastAsia="仿宋_GB2312" w:hAnsi="Times New Roman"/>
          <w:color w:val="000000" w:themeColor="text1"/>
          <w:sz w:val="32"/>
          <w:szCs w:val="32"/>
        </w:rPr>
        <w:t>公顷。</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三、项目的必要性</w:t>
      </w:r>
    </w:p>
    <w:p w:rsidR="00652F99" w:rsidRDefault="00840111">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根据长乐“十四五”及国土空间总体规划，长乐区将重点聚焦数字经济、新能源</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新材料、临空</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临港产业、新型显示、健康医疗</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生物医药等七个重点产业，本片区拟入驻新能源汽车零部件智造基地，对推进长乐新能源产业，壮大长乐重点产业，实现产业发展目标具有推进作用。</w:t>
      </w:r>
    </w:p>
    <w:p w:rsidR="00652F99" w:rsidRDefault="00840111">
      <w:pPr>
        <w:spacing w:line="560" w:lineRule="exact"/>
        <w:ind w:firstLineChars="200" w:firstLine="640"/>
        <w:rPr>
          <w:rFonts w:ascii="仿宋_GB2312" w:eastAsia="仿宋_GB2312" w:hAnsi="宋体"/>
          <w:sz w:val="32"/>
          <w:szCs w:val="32"/>
        </w:rPr>
      </w:pPr>
      <w:r>
        <w:rPr>
          <w:rFonts w:ascii="Times New Roman" w:eastAsia="仿宋_GB2312" w:hAnsi="Times New Roman" w:hint="eastAsia"/>
          <w:color w:val="000000" w:themeColor="text1"/>
          <w:sz w:val="32"/>
          <w:szCs w:val="32"/>
        </w:rPr>
        <w:t>本片</w:t>
      </w:r>
      <w:proofErr w:type="gramStart"/>
      <w:r>
        <w:rPr>
          <w:rFonts w:ascii="Times New Roman" w:eastAsia="仿宋_GB2312" w:hAnsi="Times New Roman" w:hint="eastAsia"/>
          <w:color w:val="000000" w:themeColor="text1"/>
          <w:sz w:val="32"/>
          <w:szCs w:val="32"/>
        </w:rPr>
        <w:t>区位于临空</w:t>
      </w:r>
      <w:proofErr w:type="gramEnd"/>
      <w:r>
        <w:rPr>
          <w:rFonts w:ascii="Times New Roman" w:eastAsia="仿宋_GB2312" w:hAnsi="Times New Roman" w:hint="eastAsia"/>
          <w:color w:val="000000" w:themeColor="text1"/>
          <w:sz w:val="32"/>
          <w:szCs w:val="32"/>
        </w:rPr>
        <w:t>经济区东北组团内，该组团作为滨海新城临空片区产业组团的重要组成部分，是滨海新城产业发展的重要空间载体。组团内已入驻菜鸟科技、京东商城、明</w:t>
      </w:r>
      <w:proofErr w:type="gramStart"/>
      <w:r>
        <w:rPr>
          <w:rFonts w:ascii="Times New Roman" w:eastAsia="仿宋_GB2312" w:hAnsi="Times New Roman" w:hint="eastAsia"/>
          <w:color w:val="000000" w:themeColor="text1"/>
          <w:sz w:val="32"/>
          <w:szCs w:val="32"/>
        </w:rPr>
        <w:t>一</w:t>
      </w:r>
      <w:proofErr w:type="gramEnd"/>
      <w:r>
        <w:rPr>
          <w:rFonts w:ascii="Times New Roman" w:eastAsia="仿宋_GB2312" w:hAnsi="Times New Roman" w:hint="eastAsia"/>
          <w:color w:val="000000" w:themeColor="text1"/>
          <w:sz w:val="32"/>
          <w:szCs w:val="32"/>
        </w:rPr>
        <w:t>国际、</w:t>
      </w:r>
      <w:proofErr w:type="gramStart"/>
      <w:r>
        <w:rPr>
          <w:rFonts w:ascii="Times New Roman" w:eastAsia="仿宋_GB2312" w:hAnsi="Times New Roman" w:hint="eastAsia"/>
          <w:color w:val="000000" w:themeColor="text1"/>
          <w:sz w:val="32"/>
          <w:szCs w:val="32"/>
        </w:rPr>
        <w:t>网龙等</w:t>
      </w:r>
      <w:proofErr w:type="gramEnd"/>
      <w:r>
        <w:rPr>
          <w:rFonts w:ascii="Times New Roman" w:eastAsia="仿宋_GB2312" w:hAnsi="Times New Roman" w:hint="eastAsia"/>
          <w:color w:val="000000" w:themeColor="text1"/>
          <w:sz w:val="32"/>
          <w:szCs w:val="32"/>
        </w:rPr>
        <w:t>国内大型企业，发展前景良好。作为离空港最近的产业组团，发展较</w:t>
      </w:r>
      <w:r>
        <w:rPr>
          <w:rFonts w:ascii="Times New Roman" w:eastAsia="仿宋_GB2312" w:hAnsi="Times New Roman" w:hint="eastAsia"/>
          <w:color w:val="000000" w:themeColor="text1"/>
          <w:sz w:val="32"/>
          <w:szCs w:val="32"/>
        </w:rPr>
        <w:t>其他</w:t>
      </w:r>
      <w:proofErr w:type="gramStart"/>
      <w:r>
        <w:rPr>
          <w:rFonts w:ascii="Times New Roman" w:eastAsia="仿宋_GB2312" w:hAnsi="Times New Roman" w:hint="eastAsia"/>
          <w:color w:val="000000" w:themeColor="text1"/>
          <w:sz w:val="32"/>
          <w:szCs w:val="32"/>
        </w:rPr>
        <w:t>组团仍</w:t>
      </w:r>
      <w:proofErr w:type="gramEnd"/>
      <w:r>
        <w:rPr>
          <w:rFonts w:ascii="Times New Roman" w:eastAsia="仿宋_GB2312" w:hAnsi="Times New Roman" w:hint="eastAsia"/>
          <w:color w:val="000000" w:themeColor="text1"/>
          <w:sz w:val="32"/>
          <w:szCs w:val="32"/>
        </w:rPr>
        <w:t>显缓慢，产业集聚效应尚不理想。本片区内以发展工业用地为主，片区的开发将扩大临空经济区产业规模，织补</w:t>
      </w:r>
      <w:proofErr w:type="gramStart"/>
      <w:r>
        <w:rPr>
          <w:rFonts w:ascii="Times New Roman" w:eastAsia="仿宋_GB2312" w:hAnsi="Times New Roman" w:hint="eastAsia"/>
          <w:color w:val="000000" w:themeColor="text1"/>
          <w:sz w:val="32"/>
          <w:szCs w:val="32"/>
        </w:rPr>
        <w:t>零星产业</w:t>
      </w:r>
      <w:proofErr w:type="gramEnd"/>
      <w:r>
        <w:rPr>
          <w:rFonts w:ascii="Times New Roman" w:eastAsia="仿宋_GB2312" w:hAnsi="Times New Roman" w:hint="eastAsia"/>
          <w:color w:val="000000" w:themeColor="text1"/>
          <w:sz w:val="32"/>
          <w:szCs w:val="32"/>
        </w:rPr>
        <w:t>用地，加速推进东北组团快速发展。</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四、规划土地用途分析</w:t>
      </w:r>
    </w:p>
    <w:p w:rsidR="00652F99" w:rsidRDefault="00840111">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本方案用地总面积</w:t>
      </w:r>
      <w:r>
        <w:rPr>
          <w:rFonts w:ascii="Times New Roman" w:eastAsia="仿宋_GB2312" w:hAnsi="Times New Roman"/>
          <w:color w:val="000000" w:themeColor="text1"/>
          <w:sz w:val="32"/>
          <w:szCs w:val="32"/>
        </w:rPr>
        <w:t>10.4913</w:t>
      </w:r>
      <w:r>
        <w:rPr>
          <w:rFonts w:ascii="Times New Roman" w:eastAsia="仿宋_GB2312" w:hAnsi="Times New Roman"/>
          <w:color w:val="000000" w:themeColor="text1"/>
          <w:sz w:val="32"/>
          <w:szCs w:val="32"/>
        </w:rPr>
        <w:t>公顷，工矿用地用途为主。其中工矿用地用途面积</w:t>
      </w:r>
      <w:r>
        <w:rPr>
          <w:rFonts w:ascii="Times New Roman" w:eastAsia="仿宋_GB2312" w:hAnsi="Times New Roman"/>
          <w:color w:val="000000" w:themeColor="text1"/>
          <w:sz w:val="32"/>
          <w:szCs w:val="32"/>
        </w:rPr>
        <w:t>5.9521</w:t>
      </w:r>
      <w:r>
        <w:rPr>
          <w:rFonts w:ascii="Times New Roman" w:eastAsia="仿宋_GB2312" w:hAnsi="Times New Roman"/>
          <w:color w:val="000000" w:themeColor="text1"/>
          <w:sz w:val="32"/>
          <w:szCs w:val="32"/>
        </w:rPr>
        <w:t>公顷，实现工业生产功能；交通运输用地用途面积</w:t>
      </w:r>
      <w:r>
        <w:rPr>
          <w:rFonts w:ascii="Times New Roman" w:eastAsia="仿宋_GB2312" w:hAnsi="Times New Roman"/>
          <w:color w:val="000000" w:themeColor="text1"/>
          <w:sz w:val="32"/>
          <w:szCs w:val="32"/>
        </w:rPr>
        <w:t>2.7242</w:t>
      </w:r>
      <w:r>
        <w:rPr>
          <w:rFonts w:ascii="Times New Roman" w:eastAsia="仿宋_GB2312" w:hAnsi="Times New Roman"/>
          <w:color w:val="000000" w:themeColor="text1"/>
          <w:sz w:val="32"/>
          <w:szCs w:val="32"/>
        </w:rPr>
        <w:t>公顷，提升用地可达性；陆地水域用途面积</w:t>
      </w:r>
      <w:r>
        <w:rPr>
          <w:rFonts w:ascii="Times New Roman" w:eastAsia="仿宋_GB2312" w:hAnsi="Times New Roman"/>
          <w:color w:val="000000" w:themeColor="text1"/>
          <w:sz w:val="32"/>
          <w:szCs w:val="32"/>
        </w:rPr>
        <w:t>0.4600</w:t>
      </w:r>
      <w:r>
        <w:rPr>
          <w:rFonts w:ascii="Times New Roman" w:eastAsia="仿宋_GB2312" w:hAnsi="Times New Roman"/>
          <w:color w:val="000000" w:themeColor="text1"/>
          <w:sz w:val="32"/>
          <w:szCs w:val="32"/>
        </w:rPr>
        <w:t>公顷，实现防洪排涝、改善环境；绿地与开敞空间用地用途面积</w:t>
      </w:r>
      <w:r>
        <w:rPr>
          <w:rFonts w:ascii="Times New Roman" w:eastAsia="仿宋_GB2312" w:hAnsi="Times New Roman"/>
          <w:color w:val="000000" w:themeColor="text1"/>
          <w:sz w:val="32"/>
          <w:szCs w:val="32"/>
        </w:rPr>
        <w:t>1.3550</w:t>
      </w:r>
      <w:r>
        <w:rPr>
          <w:rFonts w:ascii="Times New Roman" w:eastAsia="仿宋_GB2312" w:hAnsi="Times New Roman"/>
          <w:color w:val="000000" w:themeColor="text1"/>
          <w:sz w:val="32"/>
          <w:szCs w:val="32"/>
        </w:rPr>
        <w:t>公顷，实现生态绿化，隔离防护功能。</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lastRenderedPageBreak/>
        <w:t>五、公益性用地</w:t>
      </w:r>
      <w:r>
        <w:rPr>
          <w:rFonts w:ascii="黑体" w:eastAsia="黑体" w:hAnsi="黑体"/>
          <w:b w:val="0"/>
          <w:szCs w:val="32"/>
        </w:rPr>
        <w:t>情况</w:t>
      </w:r>
    </w:p>
    <w:p w:rsidR="00652F99" w:rsidRDefault="00840111">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公益性用地包含交通运输用</w:t>
      </w:r>
      <w:r>
        <w:rPr>
          <w:rFonts w:ascii="Times New Roman" w:eastAsia="仿宋_GB2312" w:hAnsi="Times New Roman" w:hint="eastAsia"/>
          <w:color w:val="000000" w:themeColor="text1"/>
          <w:sz w:val="32"/>
          <w:szCs w:val="32"/>
        </w:rPr>
        <w:t>地用途、绿地与开敞空间用地用途、陆地水域用途等，合计</w:t>
      </w:r>
      <w:r>
        <w:rPr>
          <w:rFonts w:ascii="Times New Roman" w:eastAsia="仿宋_GB2312" w:hAnsi="Times New Roman"/>
          <w:color w:val="000000" w:themeColor="text1"/>
          <w:sz w:val="32"/>
          <w:szCs w:val="32"/>
        </w:rPr>
        <w:t>4.5392</w:t>
      </w:r>
      <w:r>
        <w:rPr>
          <w:rFonts w:ascii="Times New Roman" w:eastAsia="仿宋_GB2312" w:hAnsi="Times New Roman"/>
          <w:color w:val="000000" w:themeColor="text1"/>
          <w:sz w:val="32"/>
          <w:szCs w:val="32"/>
        </w:rPr>
        <w:t>公顷，占总用地面积的</w:t>
      </w:r>
      <w:r>
        <w:rPr>
          <w:rFonts w:ascii="Times New Roman" w:eastAsia="仿宋_GB2312" w:hAnsi="Times New Roman" w:hint="eastAsia"/>
          <w:color w:val="000000" w:themeColor="text1"/>
          <w:sz w:val="32"/>
          <w:szCs w:val="32"/>
        </w:rPr>
        <w:t>43.27</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w:t>
      </w:r>
      <w:r>
        <w:rPr>
          <w:rFonts w:ascii="仿宋_GB2312" w:eastAsia="仿宋_GB2312" w:hAnsi="仿宋_GB2312" w:cs="仿宋_GB2312" w:hint="eastAsia"/>
          <w:sz w:val="32"/>
          <w:szCs w:val="32"/>
        </w:rPr>
        <w:t>符合自然资</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号文件规定。</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六</w:t>
      </w:r>
      <w:r>
        <w:rPr>
          <w:rFonts w:ascii="黑体" w:eastAsia="黑体" w:hAnsi="黑体"/>
          <w:b w:val="0"/>
          <w:szCs w:val="32"/>
        </w:rPr>
        <w:t>、规划符合情况</w:t>
      </w:r>
    </w:p>
    <w:p w:rsidR="00652F99" w:rsidRDefault="0084011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本次土地征收成片开发方案符合国民经济和社会发展规划、城乡规划、专项规划，已纳入福州市长乐区</w:t>
      </w:r>
      <w:r>
        <w:rPr>
          <w:rFonts w:ascii="仿宋_GB2312" w:eastAsia="仿宋_GB2312" w:hAnsi="宋体" w:hint="eastAsia"/>
          <w:sz w:val="32"/>
          <w:szCs w:val="32"/>
        </w:rPr>
        <w:t>2024</w:t>
      </w:r>
      <w:r>
        <w:rPr>
          <w:rFonts w:ascii="仿宋_GB2312" w:eastAsia="仿宋_GB2312" w:hAnsi="宋体" w:hint="eastAsia"/>
          <w:sz w:val="32"/>
          <w:szCs w:val="32"/>
        </w:rPr>
        <w:t>年国民经济和社会发展年度计划；该成片开发方案位于正在报批的《福州市国土空间总体规划（</w:t>
      </w:r>
      <w:r>
        <w:rPr>
          <w:rFonts w:ascii="仿宋_GB2312" w:eastAsia="仿宋_GB2312" w:hAnsi="宋体" w:hint="eastAsia"/>
          <w:sz w:val="32"/>
          <w:szCs w:val="32"/>
        </w:rPr>
        <w:t>2021-2035</w:t>
      </w:r>
      <w:r>
        <w:rPr>
          <w:rFonts w:ascii="仿宋_GB2312" w:eastAsia="仿宋_GB2312" w:hAnsi="宋体" w:hint="eastAsia"/>
          <w:sz w:val="32"/>
          <w:szCs w:val="32"/>
        </w:rPr>
        <w:t>）》确定的城镇建设用地范围内，</w:t>
      </w:r>
      <w:r>
        <w:rPr>
          <w:rFonts w:ascii="仿宋_GB2312" w:eastAsia="仿宋_GB2312" w:hAnsi="仿宋_GB2312" w:cs="仿宋_GB2312" w:hint="eastAsia"/>
          <w:sz w:val="32"/>
          <w:szCs w:val="32"/>
        </w:rPr>
        <w:t>有关部门和单位对城镇用地布局无颠覆性意见。</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七</w:t>
      </w:r>
      <w:r>
        <w:rPr>
          <w:rFonts w:ascii="黑体" w:eastAsia="黑体" w:hAnsi="黑体"/>
          <w:b w:val="0"/>
          <w:szCs w:val="32"/>
        </w:rPr>
        <w:t>、</w:t>
      </w:r>
      <w:r>
        <w:rPr>
          <w:rFonts w:ascii="黑体" w:eastAsia="黑体" w:hAnsi="黑体" w:hint="eastAsia"/>
          <w:b w:val="0"/>
          <w:szCs w:val="32"/>
        </w:rPr>
        <w:t>永久基本农田及生态保护情况</w:t>
      </w:r>
    </w:p>
    <w:p w:rsidR="00652F99" w:rsidRDefault="0084011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成片开发区域范围不占用永久基本农田、生态保护红线、</w:t>
      </w:r>
      <w:r>
        <w:rPr>
          <w:rFonts w:ascii="仿宋_GB2312" w:eastAsia="仿宋_GB2312" w:hAnsi="仿宋_GB2312" w:cs="仿宋_GB2312" w:hint="eastAsia"/>
          <w:sz w:val="32"/>
          <w:szCs w:val="32"/>
        </w:rPr>
        <w:t>各类饮用水水源保护区等敏感区域及其他法律法规规定不允许占用或开发的区域</w:t>
      </w:r>
      <w:r>
        <w:rPr>
          <w:rFonts w:ascii="仿宋_GB2312" w:eastAsia="仿宋_GB2312" w:hAnsi="宋体" w:hint="eastAsia"/>
          <w:sz w:val="32"/>
          <w:szCs w:val="32"/>
        </w:rPr>
        <w:t>；成片开发范围内不涉及历史文化名城、名镇、名村、传统村落、文物建筑、已公布历史建筑和传统风貌建筑，不涉及各级文物保护单位、不可移动文物，不涉及古树名木</w:t>
      </w:r>
      <w:r>
        <w:rPr>
          <w:rFonts w:ascii="仿宋_GB2312" w:eastAsia="仿宋_GB2312" w:hAnsi="仿宋_GB2312" w:cs="仿宋_GB2312" w:hint="eastAsia"/>
          <w:sz w:val="32"/>
          <w:szCs w:val="32"/>
        </w:rPr>
        <w:t>。</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八</w:t>
      </w:r>
      <w:r>
        <w:rPr>
          <w:rFonts w:ascii="黑体" w:eastAsia="黑体" w:hAnsi="黑体"/>
          <w:b w:val="0"/>
          <w:szCs w:val="32"/>
        </w:rPr>
        <w:t>、</w:t>
      </w:r>
      <w:r>
        <w:rPr>
          <w:rFonts w:ascii="黑体" w:eastAsia="黑体" w:hAnsi="黑体" w:hint="eastAsia"/>
          <w:b w:val="0"/>
          <w:szCs w:val="32"/>
        </w:rPr>
        <w:t>实施计划</w:t>
      </w:r>
    </w:p>
    <w:p w:rsidR="00652F99" w:rsidRDefault="0084011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本方案</w:t>
      </w:r>
      <w:r>
        <w:rPr>
          <w:rFonts w:ascii="仿宋_GB2312" w:eastAsia="仿宋_GB2312" w:hAnsi="宋体"/>
          <w:sz w:val="32"/>
          <w:szCs w:val="32"/>
        </w:rPr>
        <w:t>计划实施周期为批复</w:t>
      </w:r>
      <w:r>
        <w:rPr>
          <w:rFonts w:ascii="仿宋_GB2312" w:eastAsia="仿宋_GB2312" w:hAnsi="宋体" w:hint="eastAsia"/>
          <w:sz w:val="32"/>
          <w:szCs w:val="32"/>
        </w:rPr>
        <w:t>后</w:t>
      </w:r>
      <w:r>
        <w:rPr>
          <w:rFonts w:ascii="仿宋_GB2312" w:eastAsia="仿宋_GB2312" w:hAnsi="宋体"/>
          <w:sz w:val="32"/>
          <w:szCs w:val="32"/>
        </w:rPr>
        <w:t>1</w:t>
      </w:r>
      <w:r>
        <w:rPr>
          <w:rFonts w:ascii="仿宋_GB2312" w:eastAsia="仿宋_GB2312" w:hAnsi="宋体" w:hint="eastAsia"/>
          <w:sz w:val="32"/>
          <w:szCs w:val="32"/>
        </w:rPr>
        <w:t>年。</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九、效益评估</w:t>
      </w:r>
    </w:p>
    <w:p w:rsidR="00652F99" w:rsidRDefault="00840111">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（一）土地利用效益：通过本方案的实施，能够实现统一规划、开发、建设与管理，提高城市土地资源配置效率。通过严格落实工业用地招标拍卖挂牌出让制度、强化用地管理等措施，提</w:t>
      </w:r>
      <w:r>
        <w:rPr>
          <w:rFonts w:ascii="仿宋_GB2312" w:eastAsia="仿宋_GB2312" w:hAnsi="宋体" w:hint="eastAsia"/>
          <w:bCs/>
          <w:sz w:val="32"/>
          <w:szCs w:val="32"/>
        </w:rPr>
        <w:lastRenderedPageBreak/>
        <w:t>高滨海新城土地节约集约利用水平。</w:t>
      </w:r>
    </w:p>
    <w:p w:rsidR="00652F99" w:rsidRDefault="00840111">
      <w:pPr>
        <w:ind w:firstLineChars="200" w:firstLine="640"/>
        <w:rPr>
          <w:rFonts w:ascii="仿宋_GB2312" w:eastAsia="仿宋_GB2312" w:hAnsi="宋体"/>
          <w:bCs/>
          <w:sz w:val="32"/>
          <w:szCs w:val="32"/>
        </w:rPr>
      </w:pPr>
      <w:r>
        <w:rPr>
          <w:rFonts w:ascii="仿宋_GB2312" w:eastAsia="仿宋_GB2312" w:hAnsi="宋体" w:hint="eastAsia"/>
          <w:bCs/>
          <w:sz w:val="32"/>
          <w:szCs w:val="32"/>
        </w:rPr>
        <w:t>（二）经济效益：本片区内拟入驻新能源汽车零部件智造基地，该产业作为新基建之一的新能源汽车，是国家政策扶持和资金关注的重点领域，也是长乐七大重点产业之一，本片区的发展对促进区域产业经济发展，构建区域新能源产业体系具有积极意义。</w:t>
      </w:r>
    </w:p>
    <w:p w:rsidR="00652F99" w:rsidRDefault="00840111">
      <w:pPr>
        <w:ind w:firstLineChars="200" w:firstLine="640"/>
        <w:rPr>
          <w:rFonts w:ascii="仿宋_GB2312" w:eastAsia="仿宋_GB2312" w:hAnsi="宋体"/>
          <w:bCs/>
          <w:sz w:val="32"/>
          <w:szCs w:val="32"/>
        </w:rPr>
      </w:pPr>
      <w:r>
        <w:rPr>
          <w:rFonts w:ascii="仿宋_GB2312" w:eastAsia="仿宋_GB2312" w:hAnsi="宋体" w:hint="eastAsia"/>
          <w:bCs/>
          <w:sz w:val="32"/>
          <w:szCs w:val="32"/>
        </w:rPr>
        <w:t>（三）社会效益：本片区拟引进的新能源产业对推动能源系统的低碳转型，支撑绿色低碳发展具有一定意义。同时本片区内规划工业用地</w:t>
      </w:r>
      <w:r>
        <w:rPr>
          <w:rFonts w:ascii="仿宋_GB2312" w:eastAsia="仿宋_GB2312" w:hAnsi="宋体"/>
          <w:bCs/>
          <w:sz w:val="32"/>
          <w:szCs w:val="32"/>
        </w:rPr>
        <w:t>5.9521</w:t>
      </w:r>
      <w:r>
        <w:rPr>
          <w:rFonts w:ascii="仿宋_GB2312" w:eastAsia="仿宋_GB2312" w:hAnsi="宋体"/>
          <w:bCs/>
          <w:sz w:val="32"/>
          <w:szCs w:val="32"/>
        </w:rPr>
        <w:t>公顷，按照</w:t>
      </w:r>
      <w:r>
        <w:rPr>
          <w:rFonts w:ascii="仿宋_GB2312" w:eastAsia="仿宋_GB2312" w:hAnsi="宋体"/>
          <w:bCs/>
          <w:sz w:val="32"/>
          <w:szCs w:val="32"/>
        </w:rPr>
        <w:t>300</w:t>
      </w:r>
      <w:r>
        <w:rPr>
          <w:rFonts w:ascii="仿宋_GB2312" w:eastAsia="仿宋_GB2312" w:hAnsi="宋体"/>
          <w:bCs/>
          <w:sz w:val="32"/>
          <w:szCs w:val="32"/>
        </w:rPr>
        <w:t>（人</w:t>
      </w:r>
      <w:r>
        <w:rPr>
          <w:rFonts w:ascii="仿宋_GB2312" w:eastAsia="仿宋_GB2312" w:hAnsi="宋体"/>
          <w:bCs/>
          <w:sz w:val="32"/>
          <w:szCs w:val="32"/>
        </w:rPr>
        <w:t>/</w:t>
      </w:r>
      <w:r>
        <w:rPr>
          <w:rFonts w:ascii="仿宋_GB2312" w:eastAsia="仿宋_GB2312" w:hAnsi="宋体"/>
          <w:bCs/>
          <w:sz w:val="32"/>
          <w:szCs w:val="32"/>
        </w:rPr>
        <w:t>公顷）工业用地就业人口估算指标，本项目建成后预计可新增就业人口</w:t>
      </w:r>
      <w:r>
        <w:rPr>
          <w:rFonts w:ascii="仿宋_GB2312" w:eastAsia="仿宋_GB2312" w:hAnsi="宋体"/>
          <w:bCs/>
          <w:sz w:val="32"/>
          <w:szCs w:val="32"/>
        </w:rPr>
        <w:t>1800</w:t>
      </w:r>
      <w:r>
        <w:rPr>
          <w:rFonts w:ascii="仿宋_GB2312" w:eastAsia="仿宋_GB2312" w:hAnsi="宋体"/>
          <w:bCs/>
          <w:sz w:val="32"/>
          <w:szCs w:val="32"/>
        </w:rPr>
        <w:t>人</w:t>
      </w:r>
      <w:r>
        <w:rPr>
          <w:rFonts w:ascii="仿宋_GB2312" w:eastAsia="仿宋_GB2312" w:hAnsi="宋体" w:hint="eastAsia"/>
          <w:bCs/>
          <w:sz w:val="32"/>
          <w:szCs w:val="32"/>
        </w:rPr>
        <w:t>。</w:t>
      </w:r>
    </w:p>
    <w:p w:rsidR="00652F99" w:rsidRDefault="00840111">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（四）生态效益：本片区内规划生态绿化用地</w:t>
      </w:r>
      <w:r>
        <w:rPr>
          <w:rFonts w:ascii="仿宋_GB2312" w:eastAsia="仿宋_GB2312" w:hAnsi="宋体"/>
          <w:bCs/>
          <w:sz w:val="32"/>
          <w:szCs w:val="32"/>
        </w:rPr>
        <w:t>1.3550</w:t>
      </w:r>
      <w:r>
        <w:rPr>
          <w:rFonts w:ascii="仿宋_GB2312" w:eastAsia="仿宋_GB2312" w:hAnsi="宋体"/>
          <w:bCs/>
          <w:sz w:val="32"/>
          <w:szCs w:val="32"/>
        </w:rPr>
        <w:t>公顷，河流水面</w:t>
      </w:r>
      <w:r>
        <w:rPr>
          <w:rFonts w:ascii="仿宋_GB2312" w:eastAsia="仿宋_GB2312" w:hAnsi="宋体"/>
          <w:bCs/>
          <w:sz w:val="32"/>
          <w:szCs w:val="32"/>
        </w:rPr>
        <w:t>0.4600</w:t>
      </w:r>
      <w:r>
        <w:rPr>
          <w:rFonts w:ascii="仿宋_GB2312" w:eastAsia="仿宋_GB2312" w:hAnsi="宋体"/>
          <w:bCs/>
          <w:sz w:val="32"/>
          <w:szCs w:val="32"/>
        </w:rPr>
        <w:t>公顷，有利于美化环境、降低噪声、提升片区防洪排涝能力。</w:t>
      </w:r>
    </w:p>
    <w:p w:rsidR="00652F99" w:rsidRDefault="00840111">
      <w:pPr>
        <w:pStyle w:val="1"/>
        <w:numPr>
          <w:ilvl w:val="0"/>
          <w:numId w:val="0"/>
        </w:numPr>
        <w:spacing w:line="560" w:lineRule="exact"/>
        <w:ind w:firstLineChars="200" w:firstLine="640"/>
        <w:rPr>
          <w:rFonts w:ascii="黑体" w:eastAsia="黑体" w:hAnsi="黑体"/>
          <w:b w:val="0"/>
          <w:szCs w:val="32"/>
        </w:rPr>
      </w:pPr>
      <w:r>
        <w:rPr>
          <w:rFonts w:ascii="黑体" w:eastAsia="黑体" w:hAnsi="黑体" w:hint="eastAsia"/>
          <w:b w:val="0"/>
          <w:szCs w:val="32"/>
        </w:rPr>
        <w:t>十、结论</w:t>
      </w:r>
    </w:p>
    <w:p w:rsidR="00652F99" w:rsidRDefault="00840111">
      <w:pPr>
        <w:spacing w:line="56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本土地征收成片开发方案符合国民经济和社会发展规划、专项规划和国土空间规划，</w:t>
      </w:r>
      <w:r>
        <w:rPr>
          <w:rFonts w:ascii="仿宋_GB2312" w:eastAsia="仿宋_GB2312" w:hAnsi="仿宋_GB2312" w:cs="仿宋_GB2312" w:hint="eastAsia"/>
          <w:sz w:val="32"/>
          <w:szCs w:val="32"/>
        </w:rPr>
        <w:t>位于长乐区城镇开发边界内的集中建设区，</w:t>
      </w:r>
      <w:r>
        <w:rPr>
          <w:rFonts w:ascii="仿宋_GB2312" w:eastAsia="仿宋_GB2312" w:hAnsi="宋体" w:hint="eastAsia"/>
          <w:bCs/>
          <w:sz w:val="32"/>
          <w:szCs w:val="32"/>
        </w:rPr>
        <w:t>已纳入福州市长乐区</w:t>
      </w:r>
      <w:r>
        <w:rPr>
          <w:rFonts w:ascii="仿宋_GB2312" w:eastAsia="仿宋_GB2312" w:hAnsi="宋体"/>
          <w:bCs/>
          <w:sz w:val="32"/>
          <w:szCs w:val="32"/>
        </w:rPr>
        <w:t>202</w:t>
      </w:r>
      <w:r>
        <w:rPr>
          <w:rFonts w:ascii="仿宋_GB2312" w:eastAsia="仿宋_GB2312" w:hAnsi="宋体" w:hint="eastAsia"/>
          <w:bCs/>
          <w:sz w:val="32"/>
          <w:szCs w:val="32"/>
        </w:rPr>
        <w:t>4</w:t>
      </w:r>
      <w:r>
        <w:rPr>
          <w:rFonts w:ascii="仿宋_GB2312" w:eastAsia="仿宋_GB2312" w:hAnsi="宋体"/>
          <w:bCs/>
          <w:sz w:val="32"/>
          <w:szCs w:val="32"/>
        </w:rPr>
        <w:t>年国民经济和社会发展年度计划，</w:t>
      </w:r>
      <w:proofErr w:type="gramStart"/>
      <w:r>
        <w:rPr>
          <w:rFonts w:ascii="仿宋_GB2312" w:eastAsia="仿宋_GB2312" w:hAnsi="宋体"/>
          <w:bCs/>
          <w:sz w:val="32"/>
          <w:szCs w:val="32"/>
        </w:rPr>
        <w:t>符合部</w:t>
      </w:r>
      <w:proofErr w:type="gramEnd"/>
      <w:r>
        <w:rPr>
          <w:rFonts w:ascii="仿宋_GB2312" w:eastAsia="仿宋_GB2312" w:hAnsi="宋体"/>
          <w:bCs/>
          <w:sz w:val="32"/>
          <w:szCs w:val="32"/>
        </w:rPr>
        <w:t>省规定的标准，做到了保护耕地、维护农民合法权益、节约集约用地、保护生态环境，能够促进经济社会可持续发展。</w:t>
      </w:r>
    </w:p>
    <w:p w:rsidR="00652F99" w:rsidRDefault="00840111">
      <w:pPr>
        <w:widowControl/>
        <w:spacing w:line="560" w:lineRule="exact"/>
        <w:jc w:val="left"/>
        <w:rPr>
          <w:rFonts w:ascii="仿宋_GB2312" w:eastAsia="仿宋_GB2312" w:hAnsi="宋体" w:hint="eastAsia"/>
          <w:bCs/>
          <w:sz w:val="32"/>
          <w:szCs w:val="32"/>
        </w:rPr>
      </w:pPr>
      <w:r>
        <w:rPr>
          <w:rFonts w:ascii="仿宋_GB2312" w:eastAsia="仿宋_GB2312" w:hAnsi="宋体"/>
          <w:bCs/>
          <w:sz w:val="32"/>
          <w:szCs w:val="32"/>
        </w:rPr>
        <w:br w:type="page"/>
      </w:r>
      <w:r>
        <w:rPr>
          <w:rFonts w:ascii="仿宋_GB2312" w:eastAsia="仿宋_GB2312" w:hAnsi="宋体" w:hint="eastAsia"/>
          <w:bCs/>
          <w:sz w:val="32"/>
          <w:szCs w:val="32"/>
        </w:rPr>
        <w:lastRenderedPageBreak/>
        <w:t>附图：</w:t>
      </w:r>
      <w:r>
        <w:rPr>
          <w:rFonts w:ascii="仿宋_GB2312" w:eastAsia="仿宋_GB2312" w:hAnsi="宋体" w:hint="eastAsia"/>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宋体" w:hint="eastAsia"/>
          <w:bCs/>
          <w:sz w:val="32"/>
          <w:szCs w:val="32"/>
        </w:rPr>
        <w:instrText>ADDIN CNKISM.UserStyle</w:instrText>
      </w:r>
      <w:r>
        <w:rPr>
          <w:rFonts w:ascii="仿宋_GB2312" w:eastAsia="仿宋_GB2312" w:hAnsi="宋体" w:hint="eastAsia"/>
          <w:bCs/>
          <w:sz w:val="32"/>
          <w:szCs w:val="32"/>
        </w:rPr>
      </w:r>
      <w:r>
        <w:rPr>
          <w:rFonts w:ascii="仿宋_GB2312" w:eastAsia="仿宋_GB2312" w:hAnsi="宋体" w:hint="eastAsia"/>
          <w:bCs/>
          <w:sz w:val="32"/>
          <w:szCs w:val="32"/>
        </w:rPr>
        <w:fldChar w:fldCharType="end"/>
      </w:r>
      <w:r>
        <w:rPr>
          <w:rFonts w:ascii="仿宋_GB2312" w:eastAsia="仿宋_GB2312" w:hAnsi="宋体" w:hint="eastAsia"/>
          <w:bCs/>
          <w:sz w:val="32"/>
          <w:szCs w:val="32"/>
        </w:rPr>
        <w:t>成片开发位置示意图</w:t>
      </w:r>
    </w:p>
    <w:p w:rsidR="00840111" w:rsidRPr="00840111" w:rsidRDefault="00840111">
      <w:pPr>
        <w:widowControl/>
        <w:spacing w:line="560" w:lineRule="exact"/>
        <w:jc w:val="left"/>
        <w:rPr>
          <w:rFonts w:ascii="仿宋_GB2312" w:eastAsia="仿宋_GB2312" w:hAnsi="宋体"/>
          <w:bCs/>
          <w:sz w:val="32"/>
          <w:szCs w:val="32"/>
        </w:rPr>
      </w:pPr>
      <w:bookmarkStart w:id="0" w:name="_GoBack"/>
      <w:bookmarkEnd w:id="0"/>
      <w:r>
        <w:rPr>
          <w:rFonts w:ascii="仿宋_GB2312" w:eastAsia="仿宋_GB2312" w:hAnsi="宋体"/>
          <w:bCs/>
          <w:noProof/>
          <w:sz w:val="32"/>
          <w:szCs w:val="32"/>
        </w:rPr>
        <w:drawing>
          <wp:anchor distT="0" distB="0" distL="114300" distR="114300" simplePos="0" relativeHeight="251658240" behindDoc="0" locked="0" layoutInCell="1" allowOverlap="1">
            <wp:simplePos x="0" y="0"/>
            <wp:positionH relativeFrom="column">
              <wp:posOffset>58420</wp:posOffset>
            </wp:positionH>
            <wp:positionV relativeFrom="paragraph">
              <wp:posOffset>63445</wp:posOffset>
            </wp:positionV>
            <wp:extent cx="5464491" cy="7722705"/>
            <wp:effectExtent l="0" t="0" r="3175" b="0"/>
            <wp:wrapNone/>
            <wp:docPr id="3" name="图片 3" descr="\\Pc-20171121qpmc\内网共享\卓伟伟\成片开发\0822（成片开发扫描上传系统-档案）！！！\！！！！！！！成品开发制作内容（电子档案）\2023年度第二批次土地征收成片开发方案（前董村南侧片区）\方案成果\成片开发位置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20171121qpmc\内网共享\卓伟伟\成片开发\0822（成片开发扫描上传系统-档案）！！！\！！！！！！！成品开发制作内容（电子档案）\2023年度第二批次土地征收成片开发方案（前董村南侧片区）\方案成果\成片开发位置示意图.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4491" cy="77227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40111" w:rsidRPr="00840111">
      <w:footerReference w:type="default" r:id="rId11"/>
      <w:pgSz w:w="11906" w:h="16838"/>
      <w:pgMar w:top="1985" w:right="1588" w:bottom="2098"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0111">
      <w:r>
        <w:separator/>
      </w:r>
    </w:p>
  </w:endnote>
  <w:endnote w:type="continuationSeparator" w:id="0">
    <w:p w:rsidR="00000000" w:rsidRDefault="0084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99" w:rsidRDefault="00840111">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仿宋_GB2312" w:eastAsia="仿宋_GB2312" w:hAnsi="仿宋_GB2312" w:cs="仿宋_GB2312" w:hint="eastAsia"/>
                              <w:sz w:val="28"/>
                              <w:szCs w:val="28"/>
                            </w:rPr>
                            <w:id w:val="58834674"/>
                          </w:sdtPr>
                          <w:sdtEndPr/>
                          <w:sdtContent>
                            <w:p w:rsidR="00652F99" w:rsidRDefault="00840111">
                              <w:pPr>
                                <w:pStyle w:val="a6"/>
                                <w:jc w:val="cente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PAGE   \* MERGEFORMAT</w:instrText>
                              </w:r>
                              <w:r>
                                <w:rPr>
                                  <w:rFonts w:ascii="仿宋_GB2312" w:eastAsia="仿宋_GB2312" w:hAnsi="仿宋_GB2312" w:cs="仿宋_GB2312" w:hint="eastAsia"/>
                                  <w:sz w:val="28"/>
                                  <w:szCs w:val="28"/>
                                </w:rPr>
                                <w:fldChar w:fldCharType="separate"/>
                              </w:r>
                              <w:r w:rsidRPr="00840111">
                                <w:rPr>
                                  <w:rFonts w:ascii="仿宋_GB2312" w:eastAsia="仿宋_GB2312" w:hAnsi="仿宋_GB2312" w:cs="仿宋_GB2312"/>
                                  <w:noProof/>
                                  <w:sz w:val="28"/>
                                  <w:szCs w:val="28"/>
                                  <w:lang w:val="zh-CN"/>
                                </w:rPr>
                                <w:t>-</w:t>
                              </w:r>
                              <w:r>
                                <w:rPr>
                                  <w:rFonts w:ascii="仿宋_GB2312" w:eastAsia="仿宋_GB2312" w:hAnsi="仿宋_GB2312" w:cs="仿宋_GB2312"/>
                                  <w:noProof/>
                                  <w:sz w:val="28"/>
                                  <w:szCs w:val="28"/>
                                </w:rPr>
                                <w:t xml:space="preserve"> 5 -</w:t>
                              </w:r>
                              <w:r>
                                <w:rPr>
                                  <w:rFonts w:ascii="仿宋_GB2312" w:eastAsia="仿宋_GB2312" w:hAnsi="仿宋_GB2312" w:cs="仿宋_GB2312" w:hint="eastAsia"/>
                                  <w:sz w:val="28"/>
                                  <w:szCs w:val="28"/>
                                </w:rPr>
                                <w:fldChar w:fldCharType="end"/>
                              </w:r>
                            </w:p>
                          </w:sdtContent>
                        </w:sdt>
                        <w:p w:rsidR="00652F99" w:rsidRDefault="00652F9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rPr>
                        <w:rFonts w:ascii="仿宋_GB2312" w:eastAsia="仿宋_GB2312" w:hAnsi="仿宋_GB2312" w:cs="仿宋_GB2312" w:hint="eastAsia"/>
                        <w:sz w:val="28"/>
                        <w:szCs w:val="28"/>
                      </w:rPr>
                      <w:id w:val="58834674"/>
                    </w:sdtPr>
                    <w:sdtEndPr/>
                    <w:sdtContent>
                      <w:p w:rsidR="00652F99" w:rsidRDefault="00840111">
                        <w:pPr>
                          <w:pStyle w:val="a6"/>
                          <w:jc w:val="cente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PAGE   \* MERGEFORMAT</w:instrText>
                        </w:r>
                        <w:r>
                          <w:rPr>
                            <w:rFonts w:ascii="仿宋_GB2312" w:eastAsia="仿宋_GB2312" w:hAnsi="仿宋_GB2312" w:cs="仿宋_GB2312" w:hint="eastAsia"/>
                            <w:sz w:val="28"/>
                            <w:szCs w:val="28"/>
                          </w:rPr>
                          <w:fldChar w:fldCharType="separate"/>
                        </w:r>
                        <w:r w:rsidRPr="00840111">
                          <w:rPr>
                            <w:rFonts w:ascii="仿宋_GB2312" w:eastAsia="仿宋_GB2312" w:hAnsi="仿宋_GB2312" w:cs="仿宋_GB2312"/>
                            <w:noProof/>
                            <w:sz w:val="28"/>
                            <w:szCs w:val="28"/>
                            <w:lang w:val="zh-CN"/>
                          </w:rPr>
                          <w:t>-</w:t>
                        </w:r>
                        <w:r>
                          <w:rPr>
                            <w:rFonts w:ascii="仿宋_GB2312" w:eastAsia="仿宋_GB2312" w:hAnsi="仿宋_GB2312" w:cs="仿宋_GB2312"/>
                            <w:noProof/>
                            <w:sz w:val="28"/>
                            <w:szCs w:val="28"/>
                          </w:rPr>
                          <w:t xml:space="preserve"> 5 -</w:t>
                        </w:r>
                        <w:r>
                          <w:rPr>
                            <w:rFonts w:ascii="仿宋_GB2312" w:eastAsia="仿宋_GB2312" w:hAnsi="仿宋_GB2312" w:cs="仿宋_GB2312" w:hint="eastAsia"/>
                            <w:sz w:val="28"/>
                            <w:szCs w:val="28"/>
                          </w:rPr>
                          <w:fldChar w:fldCharType="end"/>
                        </w:r>
                      </w:p>
                    </w:sdtContent>
                  </w:sdt>
                  <w:p w:rsidR="00652F99" w:rsidRDefault="00652F99"/>
                </w:txbxContent>
              </v:textbox>
              <w10:wrap anchorx="margin"/>
            </v:shape>
          </w:pict>
        </mc:Fallback>
      </mc:AlternateContent>
    </w:r>
  </w:p>
  <w:p w:rsidR="00652F99" w:rsidRDefault="00652F9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0111">
      <w:r>
        <w:separator/>
      </w:r>
    </w:p>
  </w:footnote>
  <w:footnote w:type="continuationSeparator" w:id="0">
    <w:p w:rsidR="00000000" w:rsidRDefault="00840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563CF"/>
    <w:multiLevelType w:val="multilevel"/>
    <w:tmpl w:val="5A3563CF"/>
    <w:lvl w:ilvl="0">
      <w:start w:val="1"/>
      <w:numFmt w:val="chineseCountingThousand"/>
      <w:pStyle w:val="1"/>
      <w:lvlText w:val="%1、"/>
      <w:lvlJc w:val="left"/>
      <w:pPr>
        <w:ind w:left="420" w:hanging="420"/>
      </w:pPr>
    </w:lvl>
    <w:lvl w:ilvl="1">
      <w:start w:val="1"/>
      <w:numFmt w:val="chineseCountingThousand"/>
      <w:lvlText w:val="(%2)"/>
      <w:lvlJc w:val="left"/>
      <w:pPr>
        <w:ind w:left="1500" w:hanging="1080"/>
      </w:pPr>
      <w:rPr>
        <w:rFonts w:hint="default"/>
      </w:rPr>
    </w:lvl>
    <w:lvl w:ilvl="2">
      <w:start w:val="1"/>
      <w:numFmt w:val="decimal"/>
      <w:lvlText w:val="（%3）"/>
      <w:lvlJc w:val="left"/>
      <w:pPr>
        <w:ind w:left="1590" w:hanging="750"/>
      </w:pPr>
      <w:rPr>
        <w:rFonts w:ascii="宋体" w:eastAsia="宋体" w:hAnsi="宋体" w:cstheme="minorBidi"/>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ZDI3ZjE5NTg2NDY4NGQxNDkxNzlkYThkNDVjYzIifQ=="/>
  </w:docVars>
  <w:rsids>
    <w:rsidRoot w:val="00172A27"/>
    <w:rsid w:val="0001648C"/>
    <w:rsid w:val="0004600D"/>
    <w:rsid w:val="00092A71"/>
    <w:rsid w:val="000A077F"/>
    <w:rsid w:val="000D625A"/>
    <w:rsid w:val="000D77AD"/>
    <w:rsid w:val="000E1D34"/>
    <w:rsid w:val="001003E4"/>
    <w:rsid w:val="0010676A"/>
    <w:rsid w:val="001124C3"/>
    <w:rsid w:val="001178F2"/>
    <w:rsid w:val="00162E5E"/>
    <w:rsid w:val="00170F26"/>
    <w:rsid w:val="00172A27"/>
    <w:rsid w:val="0017500E"/>
    <w:rsid w:val="00185ADC"/>
    <w:rsid w:val="00192A04"/>
    <w:rsid w:val="001B2686"/>
    <w:rsid w:val="001B343A"/>
    <w:rsid w:val="001B35BE"/>
    <w:rsid w:val="001B3812"/>
    <w:rsid w:val="001B3DE6"/>
    <w:rsid w:val="001E324F"/>
    <w:rsid w:val="001E3A33"/>
    <w:rsid w:val="00203CA3"/>
    <w:rsid w:val="00205DAA"/>
    <w:rsid w:val="00222C04"/>
    <w:rsid w:val="00266DF1"/>
    <w:rsid w:val="00281003"/>
    <w:rsid w:val="002900E7"/>
    <w:rsid w:val="002C118E"/>
    <w:rsid w:val="002D182C"/>
    <w:rsid w:val="002D63E5"/>
    <w:rsid w:val="002D695C"/>
    <w:rsid w:val="002E11B8"/>
    <w:rsid w:val="00324166"/>
    <w:rsid w:val="00327BE4"/>
    <w:rsid w:val="00362F0D"/>
    <w:rsid w:val="00372722"/>
    <w:rsid w:val="00387ED2"/>
    <w:rsid w:val="0039052F"/>
    <w:rsid w:val="0039709A"/>
    <w:rsid w:val="003C013F"/>
    <w:rsid w:val="003C1698"/>
    <w:rsid w:val="003D1399"/>
    <w:rsid w:val="003D4F77"/>
    <w:rsid w:val="003D5CCE"/>
    <w:rsid w:val="003D6A6A"/>
    <w:rsid w:val="003F2701"/>
    <w:rsid w:val="004115CE"/>
    <w:rsid w:val="004222B9"/>
    <w:rsid w:val="004336CE"/>
    <w:rsid w:val="0045559D"/>
    <w:rsid w:val="00456F31"/>
    <w:rsid w:val="0047022B"/>
    <w:rsid w:val="004B3819"/>
    <w:rsid w:val="004C3CEC"/>
    <w:rsid w:val="004E4319"/>
    <w:rsid w:val="004E52D9"/>
    <w:rsid w:val="004F7B5C"/>
    <w:rsid w:val="00592D1D"/>
    <w:rsid w:val="005C46A5"/>
    <w:rsid w:val="005F2900"/>
    <w:rsid w:val="00612C90"/>
    <w:rsid w:val="0062343E"/>
    <w:rsid w:val="00641EC6"/>
    <w:rsid w:val="00652F99"/>
    <w:rsid w:val="0066337A"/>
    <w:rsid w:val="006A1E58"/>
    <w:rsid w:val="006D2889"/>
    <w:rsid w:val="006D37B9"/>
    <w:rsid w:val="006E058D"/>
    <w:rsid w:val="006E54EA"/>
    <w:rsid w:val="00736730"/>
    <w:rsid w:val="00741F64"/>
    <w:rsid w:val="00780689"/>
    <w:rsid w:val="007C1789"/>
    <w:rsid w:val="007C664D"/>
    <w:rsid w:val="007D3C87"/>
    <w:rsid w:val="007E2222"/>
    <w:rsid w:val="007E5E8F"/>
    <w:rsid w:val="007E6768"/>
    <w:rsid w:val="007F5F66"/>
    <w:rsid w:val="0080174F"/>
    <w:rsid w:val="0080566A"/>
    <w:rsid w:val="0081107F"/>
    <w:rsid w:val="008200F4"/>
    <w:rsid w:val="008206CE"/>
    <w:rsid w:val="00837B0E"/>
    <w:rsid w:val="00840111"/>
    <w:rsid w:val="00840B86"/>
    <w:rsid w:val="00854B1E"/>
    <w:rsid w:val="00870C27"/>
    <w:rsid w:val="00874DCE"/>
    <w:rsid w:val="00875513"/>
    <w:rsid w:val="00876F89"/>
    <w:rsid w:val="00896827"/>
    <w:rsid w:val="008B0421"/>
    <w:rsid w:val="008C2457"/>
    <w:rsid w:val="008D0BC2"/>
    <w:rsid w:val="008D15AD"/>
    <w:rsid w:val="008D681F"/>
    <w:rsid w:val="008E4700"/>
    <w:rsid w:val="008F0BED"/>
    <w:rsid w:val="00914B42"/>
    <w:rsid w:val="00943184"/>
    <w:rsid w:val="00962247"/>
    <w:rsid w:val="00980643"/>
    <w:rsid w:val="009E44A9"/>
    <w:rsid w:val="009E7626"/>
    <w:rsid w:val="00A011E0"/>
    <w:rsid w:val="00A3488C"/>
    <w:rsid w:val="00A70559"/>
    <w:rsid w:val="00A86EFF"/>
    <w:rsid w:val="00A908E4"/>
    <w:rsid w:val="00A9394F"/>
    <w:rsid w:val="00AA3880"/>
    <w:rsid w:val="00AA6605"/>
    <w:rsid w:val="00AB0019"/>
    <w:rsid w:val="00AB0671"/>
    <w:rsid w:val="00AC0229"/>
    <w:rsid w:val="00AC0458"/>
    <w:rsid w:val="00AC134A"/>
    <w:rsid w:val="00B35D53"/>
    <w:rsid w:val="00B37B2B"/>
    <w:rsid w:val="00B40891"/>
    <w:rsid w:val="00B40BCE"/>
    <w:rsid w:val="00B44426"/>
    <w:rsid w:val="00B4767A"/>
    <w:rsid w:val="00BA792C"/>
    <w:rsid w:val="00BC096B"/>
    <w:rsid w:val="00BC391E"/>
    <w:rsid w:val="00BD4F3D"/>
    <w:rsid w:val="00BD5250"/>
    <w:rsid w:val="00BE3644"/>
    <w:rsid w:val="00C17DF7"/>
    <w:rsid w:val="00C220EA"/>
    <w:rsid w:val="00C24E90"/>
    <w:rsid w:val="00C33FB0"/>
    <w:rsid w:val="00C66CA2"/>
    <w:rsid w:val="00C83672"/>
    <w:rsid w:val="00C85F49"/>
    <w:rsid w:val="00C91473"/>
    <w:rsid w:val="00C968E3"/>
    <w:rsid w:val="00CB66EC"/>
    <w:rsid w:val="00CC6411"/>
    <w:rsid w:val="00CD02E1"/>
    <w:rsid w:val="00CF55B1"/>
    <w:rsid w:val="00D14786"/>
    <w:rsid w:val="00D20836"/>
    <w:rsid w:val="00D32A4E"/>
    <w:rsid w:val="00D42F39"/>
    <w:rsid w:val="00D52683"/>
    <w:rsid w:val="00D83EC3"/>
    <w:rsid w:val="00D87007"/>
    <w:rsid w:val="00D936B6"/>
    <w:rsid w:val="00E01AF7"/>
    <w:rsid w:val="00E77629"/>
    <w:rsid w:val="00E814F1"/>
    <w:rsid w:val="00E9350A"/>
    <w:rsid w:val="00E95CDA"/>
    <w:rsid w:val="00EA17BF"/>
    <w:rsid w:val="00EA51D6"/>
    <w:rsid w:val="00EA77CF"/>
    <w:rsid w:val="00EA7E2C"/>
    <w:rsid w:val="00EB3B0A"/>
    <w:rsid w:val="00EB426B"/>
    <w:rsid w:val="00F14B00"/>
    <w:rsid w:val="00F47BB4"/>
    <w:rsid w:val="00F57216"/>
    <w:rsid w:val="00F72FDB"/>
    <w:rsid w:val="00F744E6"/>
    <w:rsid w:val="00F76A8F"/>
    <w:rsid w:val="00F86FAC"/>
    <w:rsid w:val="00FB42D5"/>
    <w:rsid w:val="00FE4166"/>
    <w:rsid w:val="029E72AD"/>
    <w:rsid w:val="10624A79"/>
    <w:rsid w:val="21963EBD"/>
    <w:rsid w:val="27A80F84"/>
    <w:rsid w:val="2AD14BC8"/>
    <w:rsid w:val="4E267909"/>
    <w:rsid w:val="5ADB6174"/>
    <w:rsid w:val="62C40EDA"/>
    <w:rsid w:val="682956B5"/>
    <w:rsid w:val="7AE865FB"/>
    <w:rsid w:val="7B23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line="578" w:lineRule="auto"/>
      <w:outlineLvl w:val="0"/>
    </w:pPr>
    <w:rPr>
      <w:rFonts w:eastAsia="微软雅黑"/>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Pr>
      <w:sz w:val="21"/>
      <w:szCs w:val="21"/>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eastAsia="微软雅黑"/>
      <w:b/>
      <w:bCs/>
      <w:kern w:val="44"/>
      <w:sz w:val="32"/>
      <w:szCs w:val="44"/>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rPr>
      <w:b/>
      <w:bCs/>
      <w:kern w:val="2"/>
      <w:sz w:val="21"/>
      <w:szCs w:val="22"/>
    </w:rPr>
  </w:style>
  <w:style w:type="character" w:customStyle="1" w:styleId="Char1">
    <w:name w:val="批注框文本 Char"/>
    <w:basedOn w:val="a0"/>
    <w:link w:val="a5"/>
    <w:uiPriority w:val="99"/>
    <w:semiHidden/>
    <w:rPr>
      <w:kern w:val="2"/>
      <w:sz w:val="18"/>
      <w:szCs w:val="18"/>
    </w:rPr>
  </w:style>
  <w:style w:type="paragraph" w:customStyle="1" w:styleId="Default">
    <w:name w:val="Default"/>
    <w:uiPriority w:val="99"/>
    <w:unhideWhenUsed/>
    <w:pPr>
      <w:widowControl w:val="0"/>
      <w:autoSpaceDE w:val="0"/>
      <w:autoSpaceDN w:val="0"/>
      <w:adjustRightInd w:val="0"/>
    </w:pPr>
    <w:rPr>
      <w:rFonts w:ascii="仿宋" w:eastAsia="仿宋" w:hAnsi="仿宋"/>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line="578" w:lineRule="auto"/>
      <w:outlineLvl w:val="0"/>
    </w:pPr>
    <w:rPr>
      <w:rFonts w:eastAsia="微软雅黑"/>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Pr>
      <w:sz w:val="21"/>
      <w:szCs w:val="21"/>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eastAsia="微软雅黑"/>
      <w:b/>
      <w:bCs/>
      <w:kern w:val="44"/>
      <w:sz w:val="32"/>
      <w:szCs w:val="44"/>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rPr>
      <w:b/>
      <w:bCs/>
      <w:kern w:val="2"/>
      <w:sz w:val="21"/>
      <w:szCs w:val="22"/>
    </w:rPr>
  </w:style>
  <w:style w:type="character" w:customStyle="1" w:styleId="Char1">
    <w:name w:val="批注框文本 Char"/>
    <w:basedOn w:val="a0"/>
    <w:link w:val="a5"/>
    <w:uiPriority w:val="99"/>
    <w:semiHidden/>
    <w:rPr>
      <w:kern w:val="2"/>
      <w:sz w:val="18"/>
      <w:szCs w:val="18"/>
    </w:rPr>
  </w:style>
  <w:style w:type="paragraph" w:customStyle="1" w:styleId="Default">
    <w:name w:val="Default"/>
    <w:uiPriority w:val="99"/>
    <w:unhideWhenUsed/>
    <w:pPr>
      <w:widowControl w:val="0"/>
      <w:autoSpaceDE w:val="0"/>
      <w:autoSpaceDN w:val="0"/>
      <w:adjustRightInd w:val="0"/>
    </w:pPr>
    <w:rPr>
      <w:rFonts w:ascii="仿宋" w:eastAsia="仿宋"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DA688-18B2-4259-AFCB-E4DC985D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1798</Words>
  <Characters>189</Characters>
  <Application>Microsoft Office Word</Application>
  <DocSecurity>0</DocSecurity>
  <Lines>1</Lines>
  <Paragraphs>3</Paragraphs>
  <ScaleCrop>false</ScaleCrop>
  <Company>fzghy</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刘龙华</dc:creator>
  <cp:lastModifiedBy>1</cp:lastModifiedBy>
  <cp:revision>32</cp:revision>
  <cp:lastPrinted>2021-06-02T10:30:00Z</cp:lastPrinted>
  <dcterms:created xsi:type="dcterms:W3CDTF">2023-08-22T01:30:00Z</dcterms:created>
  <dcterms:modified xsi:type="dcterms:W3CDTF">2024-10-08T06:52:00Z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D85F5125B58E452C96E2A3F4299FD5ED_12</vt:lpwstr>
  </property>
</Properties>
</file>